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AF8B91">
      <w:pPr>
        <w:rPr>
          <w:highlight w:val="none"/>
        </w:rPr>
      </w:pPr>
    </w:p>
    <w:p w14:paraId="0DCDCCEC">
      <w:pPr>
        <w:snapToGrid w:val="0"/>
        <w:jc w:val="center"/>
        <w:rPr>
          <w:rFonts w:hint="default" w:ascii="华文楷体" w:hAnsi="华文楷体" w:eastAsia="华文楷体" w:cs="Times New Roman"/>
          <w:b/>
          <w:bCs/>
          <w:kern w:val="2"/>
          <w:sz w:val="32"/>
          <w:szCs w:val="32"/>
          <w:lang w:val="en-US" w:eastAsia="zh-CN"/>
        </w:rPr>
      </w:pPr>
      <w:r>
        <w:rPr>
          <w:rFonts w:hint="eastAsia" w:ascii="华文楷体" w:hAnsi="华文楷体" w:eastAsia="华文楷体" w:cs="Times New Roman"/>
          <w:b/>
          <w:bCs/>
          <w:kern w:val="2"/>
          <w:sz w:val="32"/>
          <w:szCs w:val="32"/>
          <w:lang w:val="en-US" w:eastAsia="zh-CN"/>
        </w:rPr>
        <w:t>山东省临床检验中心</w:t>
      </w:r>
    </w:p>
    <w:p w14:paraId="42B343AD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/>
        <w:ind w:left="0" w:right="0"/>
        <w:jc w:val="center"/>
        <w:rPr>
          <w:rFonts w:hint="default" w:ascii="Times New Roman" w:hAnsi="Times New Roman" w:eastAsia="宋体" w:cs="Times New Roman"/>
          <w:b/>
          <w:bCs/>
          <w:sz w:val="32"/>
          <w:szCs w:val="32"/>
          <w:highlight w:val="none"/>
        </w:rPr>
      </w:pPr>
      <w:r>
        <w:rPr>
          <w:rFonts w:hint="eastAsia" w:ascii="Times New Roman" w:hAnsi="Times New Roman" w:eastAsia="宋体" w:cs="Times New Roman"/>
          <w:b/>
          <w:bCs/>
          <w:kern w:val="0"/>
          <w:sz w:val="32"/>
          <w:szCs w:val="32"/>
          <w:highlight w:val="none"/>
          <w:lang w:eastAsia="zh-CN" w:bidi="ar"/>
        </w:rPr>
        <w:t>2025年</w:t>
      </w:r>
      <w:r>
        <w:rPr>
          <w:rFonts w:hint="eastAsia" w:ascii="宋体" w:hAnsi="宋体" w:eastAsia="宋体" w:cs="宋体"/>
          <w:b/>
          <w:bCs/>
          <w:kern w:val="0"/>
          <w:sz w:val="32"/>
          <w:szCs w:val="32"/>
          <w:highlight w:val="none"/>
          <w:lang w:val="en-US" w:eastAsia="zh-CN" w:bidi="ar"/>
        </w:rPr>
        <w:t>白细胞介素6（IL-6）检验室间质量（调查）活动须知</w:t>
      </w:r>
      <w:r>
        <w:rPr>
          <w:rFonts w:hint="default" w:ascii="Times New Roman" w:hAnsi="Times New Roman" w:eastAsia="宋体" w:cs="Times New Roman"/>
          <w:b/>
          <w:bCs/>
          <w:kern w:val="0"/>
          <w:sz w:val="32"/>
          <w:szCs w:val="32"/>
          <w:highlight w:val="none"/>
          <w:lang w:val="en-US" w:eastAsia="zh-CN" w:bidi="ar"/>
        </w:rPr>
        <w:t xml:space="preserve"> </w:t>
      </w:r>
    </w:p>
    <w:p w14:paraId="121E28DC">
      <w:pPr>
        <w:keepNext w:val="0"/>
        <w:keepLines w:val="0"/>
        <w:widowControl w:val="0"/>
        <w:suppressLineNumbers w:val="0"/>
        <w:spacing w:before="0" w:beforeAutospacing="0" w:after="0" w:afterAutospacing="0" w:line="360" w:lineRule="auto"/>
        <w:ind w:left="0" w:right="0"/>
        <w:jc w:val="both"/>
        <w:rPr>
          <w:rFonts w:hint="default" w:ascii="Times New Roman" w:hAnsi="Times New Roman" w:eastAsia="宋体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宋体" w:cs="Times New Roman"/>
          <w:kern w:val="0"/>
          <w:sz w:val="32"/>
          <w:szCs w:val="32"/>
          <w:highlight w:val="none"/>
          <w:lang w:val="en-US" w:eastAsia="zh-CN" w:bidi="ar"/>
        </w:rPr>
        <w:t xml:space="preserve"> </w:t>
      </w:r>
    </w:p>
    <w:p w14:paraId="21BC958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highlight w:val="none"/>
        </w:rPr>
      </w:pPr>
      <w:r>
        <w:rPr>
          <w:rFonts w:hint="eastAsia" w:ascii="Times New Roman" w:hAnsi="Times New Roman" w:eastAsia="宋体" w:cs="Times New Roman"/>
          <w:b w:val="0"/>
          <w:bCs w:val="0"/>
          <w:color w:val="auto"/>
          <w:kern w:val="0"/>
          <w:sz w:val="24"/>
          <w:szCs w:val="24"/>
          <w:highlight w:val="none"/>
          <w:lang w:eastAsia="zh-CN" w:bidi="ar"/>
        </w:rPr>
        <w:t>2025年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val="en-US" w:eastAsia="zh-CN" w:bidi="ar"/>
        </w:rPr>
        <w:t>山东省临床检验中心组织全省临床实</w:t>
      </w: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验室开展白细胞介素6（IL-6）检验室间质量</w:t>
      </w: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调查活动</w:t>
      </w: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，全年共进行1次活动，共3个批号，全年一次邮寄。有关内容说明如下：</w:t>
      </w:r>
    </w:p>
    <w:p w14:paraId="74FCAC81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right="0" w:rightChars="0" w:firstLine="482" w:firstLineChars="200"/>
        <w:jc w:val="both"/>
        <w:textAlignment w:val="auto"/>
        <w:rPr>
          <w:rFonts w:hint="default" w:ascii="Times New Roman" w:hAnsi="Times New Roman" w:eastAsia="宋体" w:cs="Times New Roman"/>
          <w:b/>
          <w:bCs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一、测定时间及样品批号</w:t>
      </w:r>
    </w:p>
    <w:tbl>
      <w:tblPr>
        <w:tblStyle w:val="8"/>
        <w:tblW w:w="0" w:type="auto"/>
        <w:jc w:val="center"/>
        <w:tblBorders>
          <w:top w:val="single" w:color="auto" w:sz="4" w:space="0"/>
          <w:left w:val="none" w:color="auto" w:sz="6" w:space="0"/>
          <w:bottom w:val="single" w:color="auto" w:sz="4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7"/>
        <w:gridCol w:w="1625"/>
        <w:gridCol w:w="1138"/>
        <w:gridCol w:w="1587"/>
        <w:gridCol w:w="1476"/>
        <w:gridCol w:w="1409"/>
      </w:tblGrid>
      <w:tr w14:paraId="6B723A2E">
        <w:tblPrEx>
          <w:tblBorders>
            <w:top w:val="single" w:color="auto" w:sz="4" w:space="0"/>
            <w:left w:val="none" w:color="auto" w:sz="6" w:space="0"/>
            <w:bottom w:val="single" w:color="auto" w:sz="4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66CEB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"/>
              </w:rPr>
              <w:t>次</w:t>
            </w:r>
            <w:r>
              <w:rPr>
                <w:rFonts w:hint="default" w:ascii="Times New Roman" w:hAnsi="Times New Roman" w:cs="Times New Roman" w:eastAsiaTheme="minorEastAsia"/>
                <w:b/>
                <w:bCs/>
                <w:kern w:val="2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"/>
              </w:rPr>
              <w:t>数</w:t>
            </w:r>
          </w:p>
        </w:tc>
        <w:tc>
          <w:tcPr>
            <w:tcW w:w="1625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63202D7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"/>
              </w:rPr>
              <w:t>样品批号</w:t>
            </w:r>
          </w:p>
        </w:tc>
        <w:tc>
          <w:tcPr>
            <w:tcW w:w="1138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DEB71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"/>
              </w:rPr>
              <w:t>数量</w:t>
            </w:r>
          </w:p>
        </w:tc>
        <w:tc>
          <w:tcPr>
            <w:tcW w:w="1587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27B5E0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Times New Roman" w:hAnsi="Times New Roman" w:eastAsia="宋体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18"/>
                <w:szCs w:val="18"/>
                <w:lang w:val="en-US" w:eastAsia="zh-CN" w:bidi="ar"/>
              </w:rPr>
              <w:t>建议测定日期</w:t>
            </w:r>
          </w:p>
        </w:tc>
        <w:tc>
          <w:tcPr>
            <w:tcW w:w="1476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2E99A56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18"/>
                <w:szCs w:val="18"/>
                <w:lang w:val="en-US" w:eastAsia="zh-CN" w:bidi="ar"/>
              </w:rPr>
              <w:t>上报截止日期</w:t>
            </w:r>
          </w:p>
        </w:tc>
        <w:tc>
          <w:tcPr>
            <w:tcW w:w="1409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7D82B2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eastAsia" w:ascii="Times New Roman" w:hAnsi="Times New Roman" w:eastAsia="宋体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18"/>
                <w:szCs w:val="18"/>
                <w:lang w:val="en-US" w:eastAsia="zh-CN" w:bidi="ar"/>
              </w:rPr>
              <w:t>成绩反馈</w:t>
            </w:r>
          </w:p>
        </w:tc>
      </w:tr>
      <w:tr w14:paraId="517FBDB7">
        <w:tblPrEx>
          <w:tblBorders>
            <w:top w:val="single" w:color="auto" w:sz="4" w:space="0"/>
            <w:left w:val="none" w:color="auto" w:sz="6" w:space="0"/>
            <w:bottom w:val="single" w:color="auto" w:sz="4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13D0C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"/>
              </w:rPr>
              <w:t>第一次</w:t>
            </w:r>
          </w:p>
        </w:tc>
        <w:tc>
          <w:tcPr>
            <w:tcW w:w="1625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74F761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2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54411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～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1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3</w:t>
            </w:r>
          </w:p>
        </w:tc>
        <w:tc>
          <w:tcPr>
            <w:tcW w:w="1138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370A1CB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瓶</w:t>
            </w:r>
          </w:p>
        </w:tc>
        <w:tc>
          <w:tcPr>
            <w:tcW w:w="1587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6DD6C5D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8月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08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日</w:t>
            </w:r>
          </w:p>
        </w:tc>
        <w:tc>
          <w:tcPr>
            <w:tcW w:w="1476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7565F56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/>
                <w:b/>
                <w:bCs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8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月</w:t>
            </w:r>
            <w:r>
              <w:rPr>
                <w:rFonts w:hint="eastAsia" w:ascii="Times New Roman" w:hAnsi="Times New Roman" w:eastAsia="宋体" w:cs="Times New Roman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13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szCs w:val="24"/>
                <w:highlight w:val="none"/>
                <w:lang w:val="en-US" w:eastAsia="zh-CN" w:bidi="ar"/>
              </w:rPr>
              <w:t>日</w:t>
            </w:r>
          </w:p>
        </w:tc>
        <w:tc>
          <w:tcPr>
            <w:tcW w:w="1409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7ECA16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 w:val="0"/>
              <w:autoSpaceDN/>
              <w:bidi w:val="0"/>
              <w:adjustRightInd/>
              <w:snapToGrid w:val="0"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cs="Times New Roman"/>
                <w:kern w:val="2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highlight w:val="none"/>
                <w:lang w:val="en-US" w:eastAsia="zh-CN" w:bidi="ar"/>
              </w:rPr>
              <w:t>8</w:t>
            </w: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"/>
              </w:rPr>
              <w:t>月</w:t>
            </w:r>
            <w:r>
              <w:rPr>
                <w:rFonts w:hint="eastAsia" w:ascii="Times New Roman" w:hAnsi="Times New Roman" w:eastAsia="宋体" w:cs="Times New Roman"/>
                <w:kern w:val="2"/>
                <w:sz w:val="24"/>
                <w:szCs w:val="24"/>
                <w:highlight w:val="none"/>
                <w:lang w:val="en-US" w:eastAsia="zh-CN" w:bidi="ar"/>
              </w:rPr>
              <w:t>20</w:t>
            </w: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"/>
              </w:rPr>
              <w:t>日</w:t>
            </w:r>
          </w:p>
        </w:tc>
      </w:tr>
    </w:tbl>
    <w:p w14:paraId="11B0C80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/>
        <w:jc w:val="both"/>
        <w:textAlignment w:val="auto"/>
        <w:rPr>
          <w:rFonts w:hint="default" w:ascii="Times New Roman" w:hAnsi="Times New Roman" w:eastAsia="宋体" w:cs="Times New Roman"/>
          <w:b/>
          <w:bCs/>
          <w:kern w:val="0"/>
          <w:sz w:val="24"/>
          <w:szCs w:val="24"/>
          <w:highlight w:val="none"/>
          <w:lang w:val="en-US" w:eastAsia="zh-CN" w:bidi="ar"/>
        </w:rPr>
      </w:pPr>
    </w:p>
    <w:p w14:paraId="1D6A641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2" w:firstLineChars="200"/>
        <w:jc w:val="both"/>
        <w:textAlignment w:val="auto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二、评价项目</w:t>
      </w:r>
    </w:p>
    <w:p w14:paraId="5FCC171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default" w:ascii="宋体" w:hAnsi="宋体" w:eastAsia="宋体" w:cs="宋体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评</w:t>
      </w:r>
      <w:r>
        <w:rPr>
          <w:rFonts w:hint="eastAsia" w:ascii="宋体" w:hAnsi="宋体" w:eastAsia="宋体" w:cs="宋体"/>
          <w:kern w:val="0"/>
          <w:sz w:val="24"/>
          <w:szCs w:val="24"/>
          <w:highlight w:val="none"/>
          <w:lang w:val="en-US" w:eastAsia="zh-CN" w:bidi="ar"/>
        </w:rPr>
        <w:t>价项目：白细胞介素6</w:t>
      </w: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（IL-6）</w:t>
      </w:r>
      <w:r>
        <w:rPr>
          <w:rFonts w:hint="eastAsia" w:ascii="宋体" w:hAnsi="宋体" w:eastAsia="宋体" w:cs="宋体"/>
          <w:kern w:val="0"/>
          <w:sz w:val="24"/>
          <w:szCs w:val="24"/>
          <w:highlight w:val="none"/>
          <w:lang w:val="en-US" w:eastAsia="zh-CN" w:bidi="ar"/>
        </w:rPr>
        <w:t xml:space="preserve"> ，共计1项。</w:t>
      </w:r>
    </w:p>
    <w:p w14:paraId="18D53D1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240" w:firstLineChars="100"/>
        <w:jc w:val="left"/>
        <w:textAlignment w:val="auto"/>
        <w:rPr>
          <w:rFonts w:hint="default" w:ascii="Times New Roman" w:hAnsi="Times New Roman" w:eastAsia="宋体" w:cs="Times New Roman"/>
          <w:b w:val="0"/>
          <w:bCs w:val="0"/>
          <w:vanish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vanish/>
          <w:kern w:val="0"/>
          <w:sz w:val="24"/>
          <w:szCs w:val="24"/>
          <w:highlight w:val="none"/>
          <w:lang w:val="en-US" w:eastAsia="zh-CN" w:bidi="ar"/>
        </w:rPr>
        <w:t>附表</w:t>
      </w:r>
    </w:p>
    <w:p w14:paraId="1BF93029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leftChars="0" w:right="0" w:firstLine="482" w:firstLineChars="200"/>
        <w:jc w:val="both"/>
        <w:textAlignment w:val="auto"/>
        <w:rPr>
          <w:rFonts w:hint="default" w:ascii="Times New Roman" w:hAnsi="Times New Roman" w:eastAsia="宋体" w:cs="Times New Roman"/>
          <w:b/>
          <w:bCs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三、样品发放、接收及处理</w:t>
      </w:r>
    </w:p>
    <w:p w14:paraId="61CD236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default" w:ascii="Times New Roman" w:hAnsi="Times New Roman" w:eastAsia="宋体" w:cs="Times New Roman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1</w:t>
      </w: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、</w:t>
      </w: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白细胞介素6室间质评品调查得到了各实验室的积极响应，实际有效报名实验室206家，拟全部试验室发放，以实际收到调查样品为准。谢谢各实验室的参与和理解。</w:t>
      </w:r>
    </w:p>
    <w:p w14:paraId="737EE22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default" w:ascii="Times New Roman" w:hAnsi="Times New Roman" w:eastAsia="宋体" w:cs="Times New Roman"/>
          <w:b/>
          <w:bCs/>
          <w:kern w:val="2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2、本次调查活动</w:t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"/>
        </w:rPr>
        <w:t>无多余质评品，如有质评品破损、缺失或编号错误，本次调查终止参与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"/>
        </w:rPr>
        <w:t>。</w:t>
      </w:r>
    </w:p>
    <w:p w14:paraId="34D70E78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ascii="PingFangSC-Regular" w:hAnsi="PingFangSC-Regular" w:eastAsia="PingFangSC-Regular" w:cs="PingFangSC-Regular"/>
          <w:b w:val="0"/>
          <w:bCs w:val="0"/>
          <w:color w:val="000000"/>
          <w:sz w:val="12"/>
          <w:szCs w:val="12"/>
        </w:rPr>
      </w:pPr>
      <w:r>
        <w:rPr>
          <w:rFonts w:hint="eastAsia" w:ascii="Times New Roman" w:hAnsi="Times New Roman" w:eastAsia="宋体" w:cs="Times New Roman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3</w:t>
      </w: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 xml:space="preserve">、【使用方法】 : 参照所使用的仪器或试剂的说明进行操作。 </w:t>
      </w:r>
    </w:p>
    <w:p w14:paraId="4313E565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 xml:space="preserve">（1）注意核对质评品批号，按顺序进行摆放。在室温15ºC-25ºC 稳定30分钟,小心打开瓶盖,防止粉末洒出。 </w:t>
      </w:r>
    </w:p>
    <w:p w14:paraId="438A2511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（2）用定量吸管移取</w:t>
      </w: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1mL</w:t>
      </w: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符合质量要求的洁净蒸馏水或去离子水进行质评品配置。</w:t>
      </w:r>
    </w:p>
    <w:p w14:paraId="3556169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（3）盖上瓶盖,静置约20 分钟,期间轻轻晃动瓶子5-10 次，充分混匀。</w:t>
      </w:r>
    </w:p>
    <w:p w14:paraId="6132BDC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 xml:space="preserve">（4）开瓶,用无污染的吸管移取足量样品,置于样本杯中立即上机检测。 </w:t>
      </w:r>
    </w:p>
    <w:p w14:paraId="54E6DEB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textAlignment w:val="auto"/>
        <w:rPr>
          <w:rFonts w:hint="default" w:ascii="Times New Roman" w:hAnsi="Times New Roman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eastAsia="宋体" w:cs="Times New Roman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4</w:t>
      </w: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  <w:t>、</w:t>
      </w:r>
      <w:r>
        <w:rPr>
          <w:rFonts w:hint="default" w:ascii="Times New Roman" w:hAnsi="Times New Roman" w:eastAsia="宋体" w:cs="Times New Roman"/>
          <w:b/>
          <w:bCs/>
          <w:sz w:val="24"/>
          <w:szCs w:val="24"/>
          <w:lang w:val="en-US" w:eastAsia="zh-CN"/>
        </w:rPr>
        <w:t>将样品等同于临床样本进行检测</w:t>
      </w:r>
      <w:r>
        <w:rPr>
          <w:rFonts w:hint="eastAsia" w:ascii="Times New Roman" w:hAnsi="Times New Roman" w:eastAsia="宋体" w:cs="Times New Roman"/>
          <w:b/>
          <w:bCs/>
          <w:sz w:val="24"/>
          <w:szCs w:val="24"/>
          <w:lang w:val="en-US" w:eastAsia="zh-CN"/>
        </w:rPr>
        <w:t>，</w:t>
      </w: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>按有潜在生物传染性样本对待，并根据相关规定使用及处理。</w:t>
      </w:r>
    </w:p>
    <w:p w14:paraId="6779E5D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textAlignment w:val="auto"/>
        <w:rPr>
          <w:rFonts w:hint="default" w:ascii="Times New Roman" w:hAnsi="Times New Roman" w:cs="Times New Roman"/>
          <w:sz w:val="24"/>
          <w:szCs w:val="24"/>
          <w:lang w:val="en-US" w:eastAsia="zh-CN"/>
        </w:rPr>
      </w:pP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769620</wp:posOffset>
            </wp:positionH>
            <wp:positionV relativeFrom="paragraph">
              <wp:posOffset>254635</wp:posOffset>
            </wp:positionV>
            <wp:extent cx="3189605" cy="1526540"/>
            <wp:effectExtent l="0" t="0" r="10795" b="10160"/>
            <wp:wrapNone/>
            <wp:docPr id="1" name="图片 1" descr="17527477483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75274774832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189605" cy="1526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5、储存条件</w:t>
      </w:r>
    </w:p>
    <w:p w14:paraId="65A7AE8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textAlignment w:val="auto"/>
        <w:rPr>
          <w:rFonts w:hint="default" w:ascii="Times New Roman" w:hAnsi="Times New Roman" w:cs="Times New Roman"/>
          <w:sz w:val="24"/>
          <w:szCs w:val="24"/>
          <w:lang w:val="en-US" w:eastAsia="zh-CN"/>
        </w:rPr>
      </w:pPr>
    </w:p>
    <w:p w14:paraId="2ED5CDF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2" w:firstLineChars="200"/>
        <w:textAlignment w:val="auto"/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</w:pPr>
    </w:p>
    <w:p w14:paraId="2E4DB13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2" w:firstLineChars="200"/>
        <w:textAlignment w:val="auto"/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</w:pPr>
    </w:p>
    <w:p w14:paraId="2C26E09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2" w:firstLineChars="200"/>
        <w:textAlignment w:val="auto"/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</w:pPr>
    </w:p>
    <w:p w14:paraId="0B3E125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2" w:firstLineChars="200"/>
        <w:textAlignment w:val="auto"/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</w:pPr>
    </w:p>
    <w:p w14:paraId="70EE71C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2" w:firstLineChars="200"/>
        <w:textAlignment w:val="auto"/>
        <w:rPr>
          <w:rFonts w:hint="default" w:ascii="Times New Roman" w:hAnsi="Times New Roman" w:eastAsia="宋体" w:cs="Times New Roman"/>
          <w:b/>
          <w:bCs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四、结果回报：</w:t>
      </w:r>
    </w:p>
    <w:p w14:paraId="7EC820D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default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default" w:ascii="Times New Roman" w:hAnsi="Times New Roman" w:cs="Times New Roman" w:eastAsiaTheme="minorEastAsia"/>
          <w:kern w:val="2"/>
          <w:sz w:val="24"/>
          <w:szCs w:val="24"/>
          <w:lang w:val="en-US" w:eastAsia="zh-CN" w:bidi="ar"/>
        </w:rPr>
        <w:t>1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"/>
        </w:rPr>
        <w:t>、使用</w:t>
      </w:r>
      <w:r>
        <w:rPr>
          <w:rFonts w:hint="default" w:ascii="Times New Roman" w:hAnsi="Times New Roman" w:cs="Times New Roman" w:eastAsiaTheme="minorEastAsia"/>
          <w:kern w:val="2"/>
          <w:sz w:val="24"/>
          <w:szCs w:val="24"/>
          <w:lang w:val="en-US" w:eastAsia="zh-CN" w:bidi="ar"/>
        </w:rPr>
        <w:t>Web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"/>
        </w:rPr>
        <w:t>方式传递室间质评信息。具体结果回报方法请查看《</w:t>
      </w:r>
      <w:r>
        <w:rPr>
          <w:rFonts w:hint="eastAsia" w:ascii="Times New Roman" w:hAnsi="Times New Roman" w:eastAsia="宋体" w:cs="Times New Roman"/>
          <w:kern w:val="2"/>
          <w:sz w:val="24"/>
          <w:szCs w:val="24"/>
          <w:lang w:val="en-US" w:eastAsia="zh-CN" w:bidi="ar"/>
        </w:rPr>
        <w:t>2025年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"/>
        </w:rPr>
        <w:t>山东省医疗机构临床实验室室间质量评价计划》中“六、基于</w:t>
      </w:r>
      <w:r>
        <w:rPr>
          <w:rFonts w:hint="default" w:ascii="Times New Roman" w:hAnsi="Times New Roman" w:eastAsia="宋体" w:cs="Times New Roman"/>
          <w:kern w:val="2"/>
          <w:sz w:val="24"/>
          <w:szCs w:val="24"/>
          <w:lang w:val="en-US" w:eastAsia="zh-CN" w:bidi="ar"/>
        </w:rPr>
        <w:t>Web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"/>
        </w:rPr>
        <w:t>的室间质量评价方式”。</w:t>
      </w:r>
    </w:p>
    <w:p w14:paraId="41057F7D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N/>
        <w:bidi w:val="0"/>
        <w:adjustRightInd/>
        <w:snapToGrid w:val="0"/>
        <w:spacing w:before="0" w:beforeAutospacing="0" w:after="0" w:afterAutospacing="0" w:line="360" w:lineRule="auto"/>
        <w:ind w:right="0" w:rightChars="0" w:firstLine="482" w:firstLineChars="200"/>
        <w:jc w:val="both"/>
        <w:textAlignment w:val="auto"/>
        <w:rPr>
          <w:rFonts w:hint="default" w:ascii="宋体" w:hAnsi="宋体" w:eastAsia="宋体" w:cs="宋体"/>
          <w:b w:val="0"/>
          <w:bCs w:val="0"/>
          <w:kern w:val="0"/>
          <w:sz w:val="24"/>
          <w:szCs w:val="24"/>
          <w:highlight w:val="none"/>
          <w:lang w:val="en-US" w:eastAsia="zh-CN" w:bidi="ar"/>
        </w:rPr>
      </w:pPr>
      <w:r>
        <w:rPr>
          <w:rFonts w:hint="default" w:ascii="宋体" w:hAnsi="宋体" w:eastAsia="宋体" w:cs="宋体"/>
          <w:b/>
          <w:bCs/>
          <w:kern w:val="2"/>
          <w:sz w:val="24"/>
          <w:szCs w:val="24"/>
          <w:lang w:eastAsia="zh-CN" w:bidi="ar"/>
        </w:rPr>
        <w:t>2、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"/>
        </w:rPr>
        <w:t>报告结果时必须填写检测方法、试剂、仪器等信息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"/>
        </w:rPr>
        <w:t>，请在回报表相应位置的下拉菜单中选择对应编码。</w:t>
      </w:r>
    </w:p>
    <w:p w14:paraId="5726D2D4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2" w:firstLineChars="200"/>
        <w:jc w:val="both"/>
        <w:textAlignment w:val="auto"/>
        <w:rPr>
          <w:rFonts w:hint="default" w:ascii="Times New Roman" w:hAnsi="Times New Roman" w:eastAsia="宋体" w:cs="Times New Roman"/>
          <w:b/>
          <w:bCs/>
          <w:sz w:val="24"/>
          <w:szCs w:val="24"/>
          <w:highlight w:val="none"/>
        </w:rPr>
      </w:pPr>
      <w:r>
        <w:rPr>
          <w:rFonts w:hint="default" w:ascii="Times New Roman" w:hAnsi="Times New Roman" w:eastAsia="宋体" w:cs="Times New Roman"/>
          <w:b/>
          <w:bCs/>
          <w:kern w:val="0"/>
          <w:sz w:val="24"/>
          <w:szCs w:val="24"/>
          <w:highlight w:val="none"/>
          <w:lang w:val="en-US" w:eastAsia="zh-CN" w:bidi="ar"/>
        </w:rPr>
        <w:t>3</w:t>
      </w:r>
      <w:r>
        <w:rPr>
          <w:rFonts w:hint="eastAsia" w:ascii="宋体" w:hAnsi="宋体" w:eastAsia="宋体" w:cs="宋体"/>
          <w:b/>
          <w:bCs/>
          <w:kern w:val="0"/>
          <w:sz w:val="24"/>
          <w:szCs w:val="24"/>
          <w:highlight w:val="none"/>
          <w:lang w:val="en-US" w:eastAsia="zh-CN" w:bidi="ar"/>
        </w:rPr>
        <w:t>、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"/>
        </w:rPr>
        <w:t>请务必在规定时间内上报检测结果。</w:t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"/>
        </w:rPr>
        <w:t>填写结果和编码时，请仔细审核后发送，提示发送成功后，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"/>
        </w:rPr>
        <w:t>必须到已上报数据栏进行结果的确认。</w:t>
      </w:r>
    </w:p>
    <w:p w14:paraId="766109F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 w:val="0"/>
        <w:spacing w:line="360" w:lineRule="auto"/>
        <w:ind w:firstLine="480" w:firstLineChars="200"/>
        <w:textAlignment w:val="auto"/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b w:val="0"/>
          <w:bCs w:val="0"/>
          <w:sz w:val="24"/>
          <w:szCs w:val="24"/>
          <w:lang w:val="en-US" w:eastAsia="zh-CN" w:bidi="ar-SA"/>
        </w:rPr>
        <w:t>4</w:t>
      </w:r>
      <w:r>
        <w:rPr>
          <w:rFonts w:hint="default" w:ascii="Times New Roman" w:hAnsi="Times New Roman" w:eastAsia="宋体" w:cs="Times New Roman"/>
          <w:b w:val="0"/>
          <w:bCs w:val="0"/>
          <w:sz w:val="24"/>
          <w:szCs w:val="24"/>
          <w:lang w:val="en-US" w:eastAsia="zh-CN" w:bidi="ar-SA"/>
        </w:rPr>
        <w:t>、参评实验室必须严肃认真对待每一次室间质量评价活动</w:t>
      </w:r>
      <w:r>
        <w:rPr>
          <w:rFonts w:hint="default" w:ascii="Times New Roman" w:hAnsi="Times New Roman" w:eastAsia="宋体" w:cs="Times New Roman"/>
          <w:b/>
          <w:bCs/>
          <w:sz w:val="24"/>
          <w:szCs w:val="24"/>
          <w:lang w:val="en-US" w:eastAsia="zh-CN" w:bidi="ar-SA"/>
        </w:rPr>
        <w:t>。</w:t>
      </w:r>
    </w:p>
    <w:p w14:paraId="2C7A3CF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2" w:firstLineChars="200"/>
        <w:jc w:val="both"/>
        <w:textAlignment w:val="auto"/>
        <w:rPr>
          <w:rFonts w:hint="eastAsia" w:ascii="Times New Roman" w:hAnsi="Times New Roman" w:eastAsia="宋体" w:cs="Times New Roman"/>
          <w:b/>
          <w:bCs/>
          <w:kern w:val="2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"/>
        </w:rPr>
        <w:t>五、联系方式</w:t>
      </w:r>
    </w:p>
    <w:p w14:paraId="2B230C4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2" w:firstLineChars="200"/>
        <w:jc w:val="both"/>
        <w:textAlignment w:val="auto"/>
        <w:rPr>
          <w:rFonts w:hint="default" w:ascii="Times New Roman" w:hAnsi="Times New Roman" w:cs="Times New Roman"/>
          <w:b/>
          <w:bCs w:val="0"/>
          <w:kern w:val="2"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"/>
        </w:rPr>
        <w:t>如果参加室间质评单位遇到与质评有关的问题，请与临检中心质评室联系。</w:t>
      </w:r>
    </w:p>
    <w:p w14:paraId="7D51A0EA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eastAsia" w:ascii="Times New Roman" w:hAnsi="Times New Roman" w:eastAsia="宋体" w:cs="Times New Roman"/>
          <w:b w:val="0"/>
          <w:bCs w:val="0"/>
          <w:kern w:val="2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"/>
        </w:rPr>
        <w:t>地址：济南市历下区经十路</w:t>
      </w:r>
      <w:r>
        <w:rPr>
          <w:rFonts w:hint="default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 w:bidi="ar"/>
        </w:rPr>
        <w:t>9677</w:t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"/>
        </w:rPr>
        <w:t>号山东省立医院东院区诚和楼</w:t>
      </w:r>
      <w:r>
        <w:rPr>
          <w:rFonts w:hint="default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 w:bidi="ar"/>
        </w:rPr>
        <w:t xml:space="preserve">505 </w:t>
      </w:r>
    </w:p>
    <w:p w14:paraId="1F35BA56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default" w:ascii="Times New Roman" w:hAnsi="Times New Roman" w:eastAsia="宋体" w:cs="Times New Roman"/>
          <w:b w:val="0"/>
          <w:bCs w:val="0"/>
          <w:kern w:val="2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"/>
        </w:rPr>
        <w:t>电话：</w:t>
      </w:r>
      <w:r>
        <w:rPr>
          <w:rFonts w:hint="default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 w:bidi="ar"/>
        </w:rPr>
        <w:t>0531-87906016</w:t>
      </w:r>
    </w:p>
    <w:p w14:paraId="294A187A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 w:val="0"/>
        <w:spacing w:before="0" w:beforeAutospacing="0" w:after="0" w:afterAutospacing="0" w:line="360" w:lineRule="auto"/>
        <w:ind w:left="0" w:right="0" w:firstLine="480" w:firstLineChars="200"/>
        <w:jc w:val="both"/>
        <w:textAlignment w:val="auto"/>
        <w:rPr>
          <w:rFonts w:hint="default" w:ascii="Times New Roman" w:hAnsi="Times New Roman" w:eastAsia="宋体" w:cs="Times New Roman"/>
          <w:b w:val="0"/>
          <w:bCs w:val="0"/>
          <w:kern w:val="2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"/>
        </w:rPr>
        <w:t>邮箱：</w:t>
      </w:r>
      <w:r>
        <w:rPr>
          <w:rFonts w:hint="default" w:ascii="Times New Roman" w:hAnsi="Times New Roman" w:cs="Times New Roman" w:eastAsiaTheme="minorEastAsia"/>
          <w:kern w:val="2"/>
          <w:sz w:val="21"/>
          <w:szCs w:val="21"/>
          <w:lang w:val="en-US" w:eastAsia="zh-CN" w:bidi="ar"/>
        </w:rPr>
        <w:fldChar w:fldCharType="begin"/>
      </w:r>
      <w:r>
        <w:rPr>
          <w:rFonts w:hint="default" w:ascii="Times New Roman" w:hAnsi="Times New Roman" w:cs="Times New Roman" w:eastAsiaTheme="minorEastAsia"/>
          <w:kern w:val="2"/>
          <w:sz w:val="21"/>
          <w:szCs w:val="21"/>
          <w:lang w:val="en-US" w:eastAsia="zh-CN" w:bidi="ar"/>
        </w:rPr>
        <w:instrText xml:space="preserve"> HYPERLINK "mailto:sdccl@21cn.com" </w:instrText>
      </w:r>
      <w:r>
        <w:rPr>
          <w:rFonts w:hint="default" w:ascii="Times New Roman" w:hAnsi="Times New Roman" w:cs="Times New Roman" w:eastAsiaTheme="minorEastAsia"/>
          <w:kern w:val="2"/>
          <w:sz w:val="21"/>
          <w:szCs w:val="21"/>
          <w:lang w:val="en-US" w:eastAsia="zh-CN" w:bidi="ar"/>
        </w:rPr>
        <w:fldChar w:fldCharType="separate"/>
      </w:r>
      <w:r>
        <w:rPr>
          <w:rStyle w:val="11"/>
          <w:rFonts w:hint="default" w:ascii="Times New Roman" w:hAnsi="Times New Roman" w:eastAsia="宋体" w:cs="Times New Roman"/>
          <w:b w:val="0"/>
          <w:bCs w:val="0"/>
          <w:kern w:val="2"/>
          <w:sz w:val="24"/>
          <w:szCs w:val="24"/>
        </w:rPr>
        <w:t>sdccleqa@163.com</w:t>
      </w:r>
      <w:r>
        <w:rPr>
          <w:rFonts w:hint="default" w:ascii="Times New Roman" w:hAnsi="Times New Roman" w:cs="Times New Roman" w:eastAsiaTheme="minorEastAsia"/>
          <w:kern w:val="2"/>
          <w:sz w:val="21"/>
          <w:szCs w:val="21"/>
          <w:lang w:val="en-US" w:eastAsia="zh-CN" w:bidi="ar"/>
        </w:rPr>
        <w:fldChar w:fldCharType="end"/>
      </w:r>
      <w:r>
        <w:rPr>
          <w:rFonts w:hint="eastAsia" w:ascii="宋体" w:hAnsi="宋体" w:eastAsia="宋体" w:cs="宋体"/>
          <w:b w:val="0"/>
          <w:bCs w:val="0"/>
          <w:kern w:val="2"/>
          <w:sz w:val="24"/>
          <w:szCs w:val="24"/>
          <w:lang w:val="en-US" w:eastAsia="zh-CN" w:bidi="ar"/>
        </w:rPr>
        <w:t>、</w:t>
      </w:r>
      <w:r>
        <w:rPr>
          <w:rFonts w:hint="default" w:ascii="Times New Roman" w:hAnsi="Times New Roman" w:eastAsia="宋体" w:cs="Times New Roman"/>
          <w:b w:val="0"/>
          <w:bCs w:val="0"/>
          <w:kern w:val="2"/>
          <w:sz w:val="24"/>
          <w:szCs w:val="24"/>
          <w:lang w:val="en-US" w:eastAsia="zh-CN" w:bidi="ar"/>
        </w:rPr>
        <w:t>sdccloffice@163.com</w:t>
      </w:r>
    </w:p>
    <w:p w14:paraId="6B15A7EF">
      <w:pPr>
        <w:keepNext w:val="0"/>
        <w:keepLines w:val="0"/>
        <w:widowControl w:val="0"/>
        <w:suppressLineNumbers w:val="0"/>
        <w:autoSpaceDE w:val="0"/>
        <w:autoSpaceDN/>
        <w:snapToGrid w:val="0"/>
        <w:spacing w:before="0" w:beforeAutospacing="0" w:after="0" w:afterAutospacing="0" w:line="360" w:lineRule="auto"/>
        <w:ind w:left="0" w:right="0"/>
        <w:jc w:val="both"/>
        <w:rPr>
          <w:rFonts w:hint="default" w:ascii="Times New Roman" w:hAnsi="Times New Roman" w:cs="Times New Roman"/>
          <w:b w:val="0"/>
          <w:bCs/>
          <w:kern w:val="2"/>
          <w:sz w:val="24"/>
          <w:szCs w:val="24"/>
        </w:rPr>
      </w:pPr>
      <w:r>
        <w:rPr>
          <w:rFonts w:hint="default" w:ascii="Times New Roman" w:hAnsi="Times New Roman" w:cs="Times New Roman" w:eastAsiaTheme="minorEastAsia"/>
          <w:b w:val="0"/>
          <w:bCs/>
          <w:kern w:val="2"/>
          <w:sz w:val="24"/>
          <w:szCs w:val="24"/>
          <w:lang w:val="en-US" w:eastAsia="zh-CN" w:bidi="ar"/>
        </w:rPr>
        <w:t xml:space="preserve"> </w:t>
      </w:r>
    </w:p>
    <w:p w14:paraId="30FD46C7">
      <w:pPr>
        <w:keepNext w:val="0"/>
        <w:keepLines w:val="0"/>
        <w:widowControl w:val="0"/>
        <w:suppressLineNumbers w:val="0"/>
        <w:autoSpaceDE w:val="0"/>
        <w:autoSpaceDN/>
        <w:snapToGrid w:val="0"/>
        <w:spacing w:before="0" w:beforeAutospacing="0" w:after="0" w:afterAutospacing="0" w:line="360" w:lineRule="auto"/>
        <w:ind w:left="0" w:right="0"/>
        <w:jc w:val="both"/>
        <w:rPr>
          <w:rFonts w:hint="default" w:ascii="Times New Roman" w:hAnsi="Times New Roman" w:cs="Times New Roman"/>
          <w:b w:val="0"/>
          <w:bCs/>
          <w:kern w:val="2"/>
          <w:sz w:val="24"/>
          <w:szCs w:val="24"/>
        </w:rPr>
      </w:pPr>
      <w:r>
        <w:rPr>
          <w:rFonts w:hint="default" w:ascii="Times New Roman" w:hAnsi="Times New Roman" w:cs="Times New Roman" w:eastAsiaTheme="minorEastAsia"/>
          <w:b w:val="0"/>
          <w:bCs/>
          <w:kern w:val="2"/>
          <w:sz w:val="24"/>
          <w:szCs w:val="24"/>
          <w:lang w:val="en-US" w:eastAsia="zh-CN" w:bidi="ar"/>
        </w:rPr>
        <w:t xml:space="preserve"> </w:t>
      </w:r>
    </w:p>
    <w:p w14:paraId="576ECFC2">
      <w:pPr>
        <w:keepNext w:val="0"/>
        <w:keepLines w:val="0"/>
        <w:widowControl w:val="0"/>
        <w:suppressLineNumbers w:val="0"/>
        <w:autoSpaceDE w:val="0"/>
        <w:autoSpaceDN/>
        <w:snapToGrid w:val="0"/>
        <w:spacing w:before="0" w:beforeAutospacing="0" w:after="0" w:afterAutospacing="0" w:line="360" w:lineRule="auto"/>
        <w:ind w:left="0" w:right="0"/>
        <w:jc w:val="both"/>
        <w:rPr>
          <w:rFonts w:hint="default" w:ascii="Times New Roman" w:hAnsi="Times New Roman" w:cs="Times New Roman"/>
          <w:b w:val="0"/>
          <w:bCs/>
          <w:kern w:val="2"/>
          <w:sz w:val="24"/>
          <w:szCs w:val="24"/>
        </w:rPr>
      </w:pPr>
      <w:r>
        <w:rPr>
          <w:rFonts w:hint="default" w:ascii="Times New Roman" w:hAnsi="Times New Roman" w:cs="Times New Roman" w:eastAsiaTheme="minorEastAsia"/>
          <w:b w:val="0"/>
          <w:bCs/>
          <w:kern w:val="2"/>
          <w:sz w:val="24"/>
          <w:szCs w:val="24"/>
          <w:lang w:val="en-US" w:eastAsia="zh-CN" w:bidi="ar"/>
        </w:rPr>
        <w:t xml:space="preserve"> </w:t>
      </w:r>
    </w:p>
    <w:p w14:paraId="2267EE92">
      <w:pPr>
        <w:keepNext w:val="0"/>
        <w:keepLines w:val="0"/>
        <w:widowControl w:val="0"/>
        <w:suppressLineNumbers w:val="0"/>
        <w:autoSpaceDE w:val="0"/>
        <w:autoSpaceDN/>
        <w:snapToGrid w:val="0"/>
        <w:spacing w:before="0" w:beforeAutospacing="0" w:after="0" w:afterAutospacing="0" w:line="360" w:lineRule="auto"/>
        <w:ind w:left="0" w:right="0"/>
        <w:jc w:val="both"/>
        <w:rPr>
          <w:rFonts w:hint="default" w:ascii="Times New Roman" w:hAnsi="Times New Roman" w:cs="Times New Roman"/>
          <w:kern w:val="2"/>
          <w:sz w:val="24"/>
          <w:szCs w:val="24"/>
        </w:rPr>
      </w:pPr>
      <w:r>
        <w:rPr>
          <w:rFonts w:hint="default" w:ascii="Times New Roman" w:hAnsi="Times New Roman" w:cs="Times New Roman" w:eastAsiaTheme="minorEastAsia"/>
          <w:b/>
          <w:bCs w:val="0"/>
          <w:kern w:val="2"/>
          <w:sz w:val="24"/>
          <w:szCs w:val="24"/>
          <w:lang w:val="en-US" w:eastAsia="zh-CN" w:bidi="ar"/>
        </w:rPr>
        <w:t xml:space="preserve">  </w:t>
      </w:r>
    </w:p>
    <w:p w14:paraId="1B646F6E"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360" w:lineRule="auto"/>
        <w:ind w:left="0" w:right="0" w:firstLine="420"/>
        <w:jc w:val="both"/>
        <w:rPr>
          <w:rFonts w:hint="default" w:ascii="Times New Roman" w:hAnsi="Times New Roman" w:cs="Times New Roman"/>
          <w:b/>
          <w:bCs/>
          <w:kern w:val="2"/>
          <w:sz w:val="28"/>
          <w:szCs w:val="28"/>
        </w:rPr>
      </w:pPr>
      <w:r>
        <w:rPr>
          <w:rFonts w:hint="default" w:ascii="Times New Roman" w:hAnsi="Times New Roman" w:cs="Times New Roman" w:eastAsiaTheme="minorEastAsia"/>
          <w:kern w:val="2"/>
          <w:sz w:val="28"/>
          <w:szCs w:val="28"/>
          <w:lang w:val="en-US" w:eastAsia="zh-CN" w:bidi="ar"/>
        </w:rPr>
        <w:t xml:space="preserve">                          </w:t>
      </w:r>
      <w:r>
        <w:rPr>
          <w:rFonts w:hint="default" w:ascii="Times New Roman" w:hAnsi="Times New Roman" w:cs="Times New Roman" w:eastAsiaTheme="minorEastAsia"/>
          <w:b/>
          <w:bCs/>
          <w:kern w:val="2"/>
          <w:sz w:val="24"/>
          <w:szCs w:val="24"/>
          <w:lang w:val="en-US" w:eastAsia="zh-CN" w:bidi="ar"/>
        </w:rPr>
        <w:t xml:space="preserve">            </w:t>
      </w:r>
      <w:r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"/>
        </w:rPr>
        <w:t>山东省临床检验中心</w:t>
      </w:r>
      <w:r>
        <w:rPr>
          <w:rFonts w:hint="default" w:ascii="Times New Roman" w:hAnsi="Times New Roman" w:cs="Times New Roman" w:eastAsiaTheme="minorEastAsia"/>
          <w:b/>
          <w:bCs/>
          <w:kern w:val="2"/>
          <w:sz w:val="28"/>
          <w:szCs w:val="28"/>
          <w:lang w:val="en-US" w:eastAsia="zh-CN" w:bidi="ar"/>
        </w:rPr>
        <w:t xml:space="preserve"> </w:t>
      </w:r>
    </w:p>
    <w:p w14:paraId="1B2998D6">
      <w:pPr>
        <w:keepNext w:val="0"/>
        <w:keepLines w:val="0"/>
        <w:widowControl w:val="0"/>
        <w:suppressLineNumbers w:val="0"/>
        <w:autoSpaceDE w:val="0"/>
        <w:autoSpaceDN/>
        <w:adjustRightInd w:val="0"/>
        <w:snapToGrid w:val="0"/>
        <w:spacing w:before="0" w:beforeAutospacing="0" w:after="0" w:afterAutospacing="0" w:line="360" w:lineRule="auto"/>
        <w:ind w:left="0" w:right="0" w:firstLine="562" w:firstLineChars="200"/>
        <w:jc w:val="both"/>
      </w:pPr>
      <w:r>
        <w:rPr>
          <w:rFonts w:hint="default" w:ascii="Times New Roman" w:hAnsi="Times New Roman" w:cs="Times New Roman" w:eastAsiaTheme="minorEastAsia"/>
          <w:b/>
          <w:bCs/>
          <w:kern w:val="2"/>
          <w:sz w:val="28"/>
          <w:szCs w:val="28"/>
          <w:lang w:val="en-US" w:eastAsia="zh-CN" w:bidi="ar"/>
        </w:rPr>
        <w:t xml:space="preserve">                                    </w:t>
      </w:r>
      <w:r>
        <w:rPr>
          <w:rFonts w:hint="eastAsia" w:ascii="Times New Roman" w:hAnsi="Times New Roman" w:cs="Times New Roman"/>
          <w:b/>
          <w:bCs/>
          <w:kern w:val="2"/>
          <w:sz w:val="28"/>
          <w:szCs w:val="28"/>
          <w:lang w:val="en-US" w:eastAsia="zh-CN" w:bidi="ar"/>
        </w:rPr>
        <w:t>2025年8</w:t>
      </w:r>
      <w:r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"/>
        </w:rPr>
        <w:t>月</w:t>
      </w:r>
      <w:r>
        <w:rPr>
          <w:rFonts w:hint="eastAsia" w:ascii="Times New Roman" w:hAnsi="Times New Roman" w:cs="Times New Roman"/>
          <w:b/>
          <w:bCs/>
          <w:kern w:val="2"/>
          <w:sz w:val="28"/>
          <w:szCs w:val="28"/>
          <w:lang w:val="en-US" w:eastAsia="zh-CN" w:bidi="ar"/>
        </w:rPr>
        <w:t>4</w:t>
      </w:r>
      <w:r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"/>
        </w:rPr>
        <w:t>日</w:t>
      </w:r>
      <w:r>
        <w:rPr>
          <w:rFonts w:hint="default" w:ascii="Times New Roman" w:hAnsi="Times New Roman" w:cs="Times New Roman" w:eastAsiaTheme="minorEastAsia"/>
          <w:b/>
          <w:bCs/>
          <w:kern w:val="2"/>
          <w:sz w:val="28"/>
          <w:szCs w:val="28"/>
          <w:lang w:val="en-US" w:eastAsia="zh-CN" w:bidi="ar"/>
        </w:rPr>
        <w:t xml:space="preserve">  </w:t>
      </w:r>
    </w:p>
    <w:p w14:paraId="0B6A41FA">
      <w:pPr>
        <w:keepNext w:val="0"/>
        <w:keepLines w:val="0"/>
        <w:widowControl w:val="0"/>
        <w:suppressLineNumbers w:val="0"/>
        <w:spacing w:before="0" w:beforeAutospacing="0" w:after="0" w:afterAutospacing="0" w:line="360" w:lineRule="auto"/>
        <w:ind w:left="0" w:right="0"/>
        <w:jc w:val="both"/>
        <w:rPr>
          <w:rFonts w:hint="default" w:ascii="Times New Roman" w:hAnsi="Times New Roman" w:eastAsia="宋体" w:cs="Times New Roman"/>
          <w:b w:val="0"/>
          <w:bCs/>
          <w:sz w:val="24"/>
          <w:szCs w:val="24"/>
          <w:highlight w:val="none"/>
        </w:rPr>
      </w:pPr>
      <w:bookmarkStart w:id="0" w:name="_GoBack"/>
      <w:bookmarkEnd w:id="0"/>
    </w:p>
    <w:p w14:paraId="222A988D">
      <w:pPr>
        <w:keepNext w:val="0"/>
        <w:keepLines w:val="0"/>
        <w:widowControl w:val="0"/>
        <w:suppressLineNumbers w:val="0"/>
        <w:spacing w:before="0" w:beforeAutospacing="0" w:after="0" w:afterAutospacing="0" w:line="360" w:lineRule="auto"/>
        <w:ind w:left="0" w:right="0"/>
        <w:jc w:val="both"/>
        <w:rPr>
          <w:rFonts w:hint="default" w:ascii="Times New Roman" w:hAnsi="Times New Roman" w:eastAsia="宋体" w:cs="Times New Roman"/>
          <w:b w:val="0"/>
          <w:bCs/>
          <w:sz w:val="24"/>
          <w:szCs w:val="24"/>
          <w:highlight w:val="none"/>
        </w:rPr>
      </w:pPr>
    </w:p>
    <w:p w14:paraId="4E61B618">
      <w:pPr>
        <w:rPr>
          <w:rFonts w:hint="default" w:ascii="Times New Roman" w:hAnsi="Times New Roman" w:eastAsia="宋体" w:cs="Times New Roman"/>
          <w:b w:val="0"/>
          <w:bCs/>
          <w:sz w:val="24"/>
          <w:szCs w:val="24"/>
          <w:highlight w:val="none"/>
        </w:rPr>
      </w:pPr>
    </w:p>
    <w:sectPr>
      <w:headerReference r:id="rId3" w:type="default"/>
      <w:pgSz w:w="11906" w:h="16838"/>
      <w:pgMar w:top="1440" w:right="850" w:bottom="1440" w:left="85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PingFangSC-Regular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6E3E91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E0OTY0YmI2M2M3NjEwMzU1YjJlYzM1N2U2NDJlNjQifQ=="/>
  </w:docVars>
  <w:rsids>
    <w:rsidRoot w:val="687D3253"/>
    <w:rsid w:val="000011CC"/>
    <w:rsid w:val="00024C20"/>
    <w:rsid w:val="00025E9B"/>
    <w:rsid w:val="00040D00"/>
    <w:rsid w:val="00044DE8"/>
    <w:rsid w:val="0005691D"/>
    <w:rsid w:val="00082BD2"/>
    <w:rsid w:val="000A5BE5"/>
    <w:rsid w:val="000A5F0C"/>
    <w:rsid w:val="000B2E03"/>
    <w:rsid w:val="000B6C71"/>
    <w:rsid w:val="000E241C"/>
    <w:rsid w:val="00107572"/>
    <w:rsid w:val="001178FD"/>
    <w:rsid w:val="00130773"/>
    <w:rsid w:val="00157FBD"/>
    <w:rsid w:val="0016136F"/>
    <w:rsid w:val="00166477"/>
    <w:rsid w:val="001975E8"/>
    <w:rsid w:val="001A09FE"/>
    <w:rsid w:val="001B3D6A"/>
    <w:rsid w:val="001B7A8C"/>
    <w:rsid w:val="001E1B12"/>
    <w:rsid w:val="001F26CF"/>
    <w:rsid w:val="001F576D"/>
    <w:rsid w:val="002359CD"/>
    <w:rsid w:val="002425DC"/>
    <w:rsid w:val="002612E6"/>
    <w:rsid w:val="00267497"/>
    <w:rsid w:val="002807E7"/>
    <w:rsid w:val="002D6122"/>
    <w:rsid w:val="00310B3D"/>
    <w:rsid w:val="00333937"/>
    <w:rsid w:val="0033401E"/>
    <w:rsid w:val="00342A50"/>
    <w:rsid w:val="003455DF"/>
    <w:rsid w:val="00373959"/>
    <w:rsid w:val="0038799D"/>
    <w:rsid w:val="003B43A0"/>
    <w:rsid w:val="003C3DEC"/>
    <w:rsid w:val="003D7D21"/>
    <w:rsid w:val="004854A4"/>
    <w:rsid w:val="00485E04"/>
    <w:rsid w:val="004867DC"/>
    <w:rsid w:val="0049411D"/>
    <w:rsid w:val="004A7F60"/>
    <w:rsid w:val="004B234C"/>
    <w:rsid w:val="004C1710"/>
    <w:rsid w:val="004E1E9B"/>
    <w:rsid w:val="004E3863"/>
    <w:rsid w:val="004F6D50"/>
    <w:rsid w:val="0051677A"/>
    <w:rsid w:val="00517F7E"/>
    <w:rsid w:val="00546521"/>
    <w:rsid w:val="00583776"/>
    <w:rsid w:val="005B7CDF"/>
    <w:rsid w:val="005C67BC"/>
    <w:rsid w:val="005C7247"/>
    <w:rsid w:val="005D0D75"/>
    <w:rsid w:val="005D302E"/>
    <w:rsid w:val="006034B5"/>
    <w:rsid w:val="006141D4"/>
    <w:rsid w:val="00615262"/>
    <w:rsid w:val="006B0276"/>
    <w:rsid w:val="006B3726"/>
    <w:rsid w:val="006B69A4"/>
    <w:rsid w:val="006E6BE9"/>
    <w:rsid w:val="006F511C"/>
    <w:rsid w:val="00702CDF"/>
    <w:rsid w:val="0070371A"/>
    <w:rsid w:val="00722126"/>
    <w:rsid w:val="007240D6"/>
    <w:rsid w:val="00734663"/>
    <w:rsid w:val="0073679C"/>
    <w:rsid w:val="00770C93"/>
    <w:rsid w:val="007920B5"/>
    <w:rsid w:val="00797FC8"/>
    <w:rsid w:val="007A0AC7"/>
    <w:rsid w:val="007D5A20"/>
    <w:rsid w:val="00806DE3"/>
    <w:rsid w:val="00815B35"/>
    <w:rsid w:val="008430BF"/>
    <w:rsid w:val="008502F9"/>
    <w:rsid w:val="008676EA"/>
    <w:rsid w:val="008907E2"/>
    <w:rsid w:val="008F235A"/>
    <w:rsid w:val="008F64B3"/>
    <w:rsid w:val="00933CC9"/>
    <w:rsid w:val="009355D4"/>
    <w:rsid w:val="00956E41"/>
    <w:rsid w:val="0096555A"/>
    <w:rsid w:val="0098743C"/>
    <w:rsid w:val="009A0E10"/>
    <w:rsid w:val="009E557E"/>
    <w:rsid w:val="00A13B54"/>
    <w:rsid w:val="00A22625"/>
    <w:rsid w:val="00A43256"/>
    <w:rsid w:val="00A504F7"/>
    <w:rsid w:val="00A64A9B"/>
    <w:rsid w:val="00A67FE2"/>
    <w:rsid w:val="00A77621"/>
    <w:rsid w:val="00A91451"/>
    <w:rsid w:val="00AA0A7B"/>
    <w:rsid w:val="00AB4687"/>
    <w:rsid w:val="00AB5061"/>
    <w:rsid w:val="00AC15A7"/>
    <w:rsid w:val="00B068F4"/>
    <w:rsid w:val="00B43E76"/>
    <w:rsid w:val="00B94190"/>
    <w:rsid w:val="00BD5041"/>
    <w:rsid w:val="00BE0FDF"/>
    <w:rsid w:val="00BE47A5"/>
    <w:rsid w:val="00BE6344"/>
    <w:rsid w:val="00BF1A4F"/>
    <w:rsid w:val="00C055E1"/>
    <w:rsid w:val="00C0604A"/>
    <w:rsid w:val="00C23CB8"/>
    <w:rsid w:val="00C331E6"/>
    <w:rsid w:val="00C45E2B"/>
    <w:rsid w:val="00C500A7"/>
    <w:rsid w:val="00C5032D"/>
    <w:rsid w:val="00C50731"/>
    <w:rsid w:val="00C83EC4"/>
    <w:rsid w:val="00CB729C"/>
    <w:rsid w:val="00CD1D45"/>
    <w:rsid w:val="00D02C2D"/>
    <w:rsid w:val="00D0325B"/>
    <w:rsid w:val="00D42DE2"/>
    <w:rsid w:val="00D47CFE"/>
    <w:rsid w:val="00D506BC"/>
    <w:rsid w:val="00D57738"/>
    <w:rsid w:val="00D57AAF"/>
    <w:rsid w:val="00D62BE1"/>
    <w:rsid w:val="00D732DB"/>
    <w:rsid w:val="00D80764"/>
    <w:rsid w:val="00D84F11"/>
    <w:rsid w:val="00DB21E3"/>
    <w:rsid w:val="00DD2C7D"/>
    <w:rsid w:val="00DD30CF"/>
    <w:rsid w:val="00DD44F0"/>
    <w:rsid w:val="00E00A18"/>
    <w:rsid w:val="00E16E9F"/>
    <w:rsid w:val="00E22A59"/>
    <w:rsid w:val="00E421C8"/>
    <w:rsid w:val="00E460FA"/>
    <w:rsid w:val="00E5665C"/>
    <w:rsid w:val="00E637BE"/>
    <w:rsid w:val="00E75D35"/>
    <w:rsid w:val="00E76D3D"/>
    <w:rsid w:val="00EA56B9"/>
    <w:rsid w:val="00EB54BA"/>
    <w:rsid w:val="00EC49C1"/>
    <w:rsid w:val="00F023E8"/>
    <w:rsid w:val="00F10BAF"/>
    <w:rsid w:val="00F12AE8"/>
    <w:rsid w:val="00F15E0B"/>
    <w:rsid w:val="00F172E2"/>
    <w:rsid w:val="00F25C15"/>
    <w:rsid w:val="00F865E5"/>
    <w:rsid w:val="00FD4527"/>
    <w:rsid w:val="044B5865"/>
    <w:rsid w:val="0904144F"/>
    <w:rsid w:val="099C4A04"/>
    <w:rsid w:val="0F6D7B84"/>
    <w:rsid w:val="13D221E3"/>
    <w:rsid w:val="17FF54B3"/>
    <w:rsid w:val="1A7537B5"/>
    <w:rsid w:val="2774326E"/>
    <w:rsid w:val="2A823E28"/>
    <w:rsid w:val="33480F8C"/>
    <w:rsid w:val="35CE2FA3"/>
    <w:rsid w:val="3EAF5522"/>
    <w:rsid w:val="3F72ED6A"/>
    <w:rsid w:val="3FFFB33F"/>
    <w:rsid w:val="47E66258"/>
    <w:rsid w:val="52FB1ECB"/>
    <w:rsid w:val="540006A2"/>
    <w:rsid w:val="5794182D"/>
    <w:rsid w:val="57F7A924"/>
    <w:rsid w:val="58940F8B"/>
    <w:rsid w:val="5BD3BBD6"/>
    <w:rsid w:val="5E4B6D5A"/>
    <w:rsid w:val="5FE84949"/>
    <w:rsid w:val="5FF0CD18"/>
    <w:rsid w:val="60B627D2"/>
    <w:rsid w:val="645C4577"/>
    <w:rsid w:val="65BF51CD"/>
    <w:rsid w:val="663416EE"/>
    <w:rsid w:val="687D3253"/>
    <w:rsid w:val="68B44A8E"/>
    <w:rsid w:val="69EFA192"/>
    <w:rsid w:val="6CE23D43"/>
    <w:rsid w:val="6E3F8360"/>
    <w:rsid w:val="74CB015D"/>
    <w:rsid w:val="75F80A7C"/>
    <w:rsid w:val="79F26295"/>
    <w:rsid w:val="7B196348"/>
    <w:rsid w:val="7DD74CA0"/>
    <w:rsid w:val="7FBB06BC"/>
    <w:rsid w:val="B63F921F"/>
    <w:rsid w:val="BDFF7258"/>
    <w:rsid w:val="DC3B6FE8"/>
    <w:rsid w:val="E59E5E73"/>
    <w:rsid w:val="EBC601F3"/>
    <w:rsid w:val="EE9A6913"/>
    <w:rsid w:val="F1F78084"/>
    <w:rsid w:val="FEEAB11E"/>
    <w:rsid w:val="FF77ABE0"/>
    <w:rsid w:val="FFF9D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  <w:lang w:val="en-US" w:eastAsia="zh-CN" w:bidi="ar-SA"/>
    </w:rPr>
  </w:style>
  <w:style w:type="character" w:default="1" w:styleId="10">
    <w:name w:val="Default Paragraph Font"/>
    <w:autoRedefine/>
    <w:semiHidden/>
    <w:unhideWhenUsed/>
    <w:qFormat/>
    <w:uiPriority w:val="1"/>
  </w:style>
  <w:style w:type="table" w:default="1" w:styleId="8">
    <w:name w:val="Normal Table"/>
    <w:autoRedefine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19"/>
    <w:autoRedefine/>
    <w:qFormat/>
    <w:uiPriority w:val="0"/>
    <w:rPr>
      <w:rFonts w:ascii="宋体" w:hAnsi="Courier New" w:eastAsia="宋体" w:cs="Courier New"/>
      <w:kern w:val="2"/>
      <w:szCs w:val="21"/>
    </w:rPr>
  </w:style>
  <w:style w:type="paragraph" w:styleId="3">
    <w:name w:val="Date"/>
    <w:basedOn w:val="1"/>
    <w:next w:val="1"/>
    <w:link w:val="20"/>
    <w:autoRedefine/>
    <w:qFormat/>
    <w:uiPriority w:val="0"/>
    <w:pPr>
      <w:ind w:left="100" w:leftChars="2500"/>
    </w:pPr>
  </w:style>
  <w:style w:type="paragraph" w:styleId="4">
    <w:name w:val="Balloon Text"/>
    <w:basedOn w:val="1"/>
    <w:link w:val="12"/>
    <w:autoRedefine/>
    <w:qFormat/>
    <w:uiPriority w:val="0"/>
    <w:rPr>
      <w:sz w:val="18"/>
      <w:szCs w:val="18"/>
    </w:rPr>
  </w:style>
  <w:style w:type="paragraph" w:styleId="5">
    <w:name w:val="footer"/>
    <w:basedOn w:val="1"/>
    <w:link w:val="14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autoRedefine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sz w:val="24"/>
      <w:szCs w:val="24"/>
    </w:rPr>
  </w:style>
  <w:style w:type="table" w:styleId="9">
    <w:name w:val="Table Grid"/>
    <w:basedOn w:val="8"/>
    <w:autoRedefine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basedOn w:val="10"/>
    <w:autoRedefine/>
    <w:qFormat/>
    <w:uiPriority w:val="0"/>
    <w:rPr>
      <w:color w:val="0000FF"/>
      <w:u w:val="single"/>
    </w:rPr>
  </w:style>
  <w:style w:type="character" w:customStyle="1" w:styleId="12">
    <w:name w:val="批注框文本 Char"/>
    <w:basedOn w:val="10"/>
    <w:link w:val="4"/>
    <w:autoRedefine/>
    <w:qFormat/>
    <w:uiPriority w:val="0"/>
    <w:rPr>
      <w:sz w:val="18"/>
      <w:szCs w:val="18"/>
    </w:rPr>
  </w:style>
  <w:style w:type="character" w:customStyle="1" w:styleId="13">
    <w:name w:val="页眉 Char"/>
    <w:basedOn w:val="10"/>
    <w:link w:val="6"/>
    <w:autoRedefine/>
    <w:qFormat/>
    <w:uiPriority w:val="99"/>
    <w:rPr>
      <w:sz w:val="18"/>
      <w:szCs w:val="18"/>
    </w:rPr>
  </w:style>
  <w:style w:type="character" w:customStyle="1" w:styleId="14">
    <w:name w:val="页脚 Char"/>
    <w:basedOn w:val="10"/>
    <w:link w:val="5"/>
    <w:autoRedefine/>
    <w:qFormat/>
    <w:uiPriority w:val="0"/>
    <w:rPr>
      <w:sz w:val="18"/>
      <w:szCs w:val="18"/>
    </w:rPr>
  </w:style>
  <w:style w:type="paragraph" w:styleId="15">
    <w:name w:val="No Spacing"/>
    <w:link w:val="16"/>
    <w:autoRedefine/>
    <w:qFormat/>
    <w:uiPriority w:val="1"/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character" w:customStyle="1" w:styleId="16">
    <w:name w:val="无间隔 Char"/>
    <w:basedOn w:val="10"/>
    <w:link w:val="15"/>
    <w:autoRedefine/>
    <w:qFormat/>
    <w:uiPriority w:val="1"/>
    <w:rPr>
      <w:sz w:val="22"/>
      <w:szCs w:val="22"/>
    </w:rPr>
  </w:style>
  <w:style w:type="paragraph" w:styleId="17">
    <w:name w:val="List Paragraph"/>
    <w:basedOn w:val="1"/>
    <w:autoRedefine/>
    <w:unhideWhenUsed/>
    <w:qFormat/>
    <w:uiPriority w:val="0"/>
    <w:pPr>
      <w:ind w:firstLine="420" w:firstLineChars="200"/>
    </w:pPr>
  </w:style>
  <w:style w:type="paragraph" w:customStyle="1" w:styleId="18">
    <w:name w:val="Table Paragraph"/>
    <w:basedOn w:val="1"/>
    <w:autoRedefine/>
    <w:qFormat/>
    <w:uiPriority w:val="1"/>
    <w:pPr>
      <w:autoSpaceDE w:val="0"/>
      <w:autoSpaceDN w:val="0"/>
      <w:ind w:left="57"/>
      <w:jc w:val="left"/>
    </w:pPr>
    <w:rPr>
      <w:rFonts w:ascii="宋体" w:hAnsi="宋体" w:eastAsia="宋体" w:cs="宋体"/>
      <w:sz w:val="22"/>
      <w:lang w:val="zh-CN" w:bidi="zh-CN"/>
    </w:rPr>
  </w:style>
  <w:style w:type="character" w:customStyle="1" w:styleId="19">
    <w:name w:val="纯文本 Char"/>
    <w:basedOn w:val="10"/>
    <w:link w:val="2"/>
    <w:autoRedefine/>
    <w:qFormat/>
    <w:uiPriority w:val="0"/>
    <w:rPr>
      <w:rFonts w:ascii="宋体" w:hAnsi="Courier New" w:eastAsia="宋体" w:cs="Courier New"/>
      <w:kern w:val="2"/>
      <w:sz w:val="21"/>
      <w:szCs w:val="21"/>
    </w:rPr>
  </w:style>
  <w:style w:type="character" w:customStyle="1" w:styleId="20">
    <w:name w:val="日期 Char"/>
    <w:basedOn w:val="10"/>
    <w:link w:val="3"/>
    <w:autoRedefine/>
    <w:qFormat/>
    <w:uiPriority w:val="0"/>
    <w:rPr>
      <w:sz w:val="21"/>
      <w:szCs w:val="22"/>
    </w:rPr>
  </w:style>
  <w:style w:type="paragraph" w:customStyle="1" w:styleId="21">
    <w:name w:val="Default"/>
    <w:basedOn w:val="1"/>
    <w:autoRedefine/>
    <w:qFormat/>
    <w:uiPriority w:val="0"/>
    <w:pPr>
      <w:keepNext w:val="0"/>
      <w:keepLines w:val="0"/>
      <w:widowControl w:val="0"/>
      <w:suppressLineNumbers w:val="0"/>
      <w:autoSpaceDE w:val="0"/>
      <w:autoSpaceDN w:val="0"/>
      <w:adjustRightInd w:val="0"/>
      <w:spacing w:before="0" w:beforeAutospacing="0" w:after="0" w:afterAutospacing="0"/>
      <w:ind w:left="0" w:right="0"/>
      <w:jc w:val="left"/>
    </w:pPr>
    <w:rPr>
      <w:rFonts w:hint="eastAsia" w:ascii="宋体" w:hAnsi="Times New Roman" w:eastAsia="宋体" w:cs="宋体"/>
      <w:color w:val="000000"/>
      <w:kern w:val="0"/>
      <w:sz w:val="24"/>
      <w:szCs w:val="24"/>
      <w:lang w:val="en-US" w:eastAsia="zh-CN" w:bidi="ar"/>
    </w:rPr>
  </w:style>
  <w:style w:type="character" w:customStyle="1" w:styleId="22">
    <w:name w:val="10"/>
    <w:basedOn w:val="10"/>
    <w:autoRedefine/>
    <w:qFormat/>
    <w:uiPriority w:val="0"/>
    <w:rPr>
      <w:rFonts w:hint="default" w:ascii="Calibri" w:hAnsi="Calibri" w:cs="Calibri"/>
    </w:rPr>
  </w:style>
  <w:style w:type="character" w:customStyle="1" w:styleId="23">
    <w:name w:val="15"/>
    <w:basedOn w:val="10"/>
    <w:autoRedefine/>
    <w:qFormat/>
    <w:uiPriority w:val="0"/>
    <w:rPr>
      <w:rFonts w:hint="default" w:ascii="Calibri" w:hAnsi="Calibri" w:cs="Calibri"/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="http://schemas.openxmlformats.org/officeDocument/2006/bibliography"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E7316C-8769-4CC4-AC60-A51A8BF57BF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Company>微软中国</Company>
  <Pages>2</Pages>
  <Words>1028</Words>
  <Characters>1142</Characters>
  <Lines>1</Lines>
  <Paragraphs>1</Paragraphs>
  <TotalTime>2</TotalTime>
  <ScaleCrop>false</ScaleCrop>
  <LinksUpToDate>false</LinksUpToDate>
  <CharactersWithSpaces>1412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2023-07-10T08:25:00Z</dcterms:created>
  <dc:creator>sunny</dc:creator>
  <cp:lastModifiedBy>大梅</cp:lastModifiedBy>
  <cp:lastPrinted>2023-08-01T00:11:00Z</cp:lastPrinted>
  <dcterms:modified xsi:type="dcterms:W3CDTF">2025-08-05T01:42:37Z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4716FE2765FA40209DD33F683A7CE502_11</vt:lpwstr>
  </property>
  <property fmtid="{D5CDD505-2E9C-101B-9397-08002B2CF9AE}" pid="4" name="KSOTemplateDocerSaveRecord">
    <vt:lpwstr>eyJoZGlkIjoiYTE0OTY0YmI2M2M3NjEwMzU1YjJlYzM1N2U2NDJlNjQiLCJ1c2VySWQiOiIyMTY2NjQ3NTkifQ==</vt:lpwstr>
  </property>
</Properties>
</file>