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AF8B91">
      <w:pPr>
        <w:rPr>
          <w:highlight w:val="none"/>
        </w:rPr>
      </w:pPr>
    </w:p>
    <w:p w14:paraId="0DCDCCEC">
      <w:pPr>
        <w:snapToGrid w:val="0"/>
        <w:jc w:val="center"/>
        <w:rPr>
          <w:rFonts w:hint="default" w:ascii="华文楷体" w:hAnsi="华文楷体" w:eastAsia="华文楷体" w:cs="Times New Roman"/>
          <w:b/>
          <w:bCs/>
          <w:kern w:val="2"/>
          <w:sz w:val="32"/>
          <w:szCs w:val="32"/>
          <w:lang w:val="en-US" w:eastAsia="zh-CN"/>
        </w:rPr>
      </w:pPr>
      <w:r>
        <w:rPr>
          <w:rFonts w:hint="eastAsia" w:ascii="华文楷体" w:hAnsi="华文楷体" w:eastAsia="华文楷体" w:cs="Times New Roman"/>
          <w:b/>
          <w:bCs/>
          <w:kern w:val="2"/>
          <w:sz w:val="32"/>
          <w:szCs w:val="32"/>
          <w:lang w:val="en-US" w:eastAsia="zh-CN"/>
        </w:rPr>
        <w:t>山东省临床检验中心</w:t>
      </w:r>
    </w:p>
    <w:p w14:paraId="42B343AD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/>
        <w:ind w:left="0" w:right="0"/>
        <w:jc w:val="center"/>
        <w:rPr>
          <w:rFonts w:hint="default" w:ascii="Times New Roman" w:hAnsi="Times New Roman" w:eastAsia="宋体" w:cs="Times New Roman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宋体" w:cs="Times New Roman"/>
          <w:b/>
          <w:bCs/>
          <w:kern w:val="0"/>
          <w:sz w:val="32"/>
          <w:szCs w:val="32"/>
          <w:highlight w:val="none"/>
          <w:lang w:eastAsia="zh-CN" w:bidi="ar"/>
        </w:rPr>
        <w:t>2025年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  <w:highlight w:val="none"/>
          <w:lang w:val="en-US" w:eastAsia="zh-CN" w:bidi="ar"/>
        </w:rPr>
        <w:t>降钙素原（PCT）检验室间质量（调查）活动须知</w:t>
      </w:r>
      <w:r>
        <w:rPr>
          <w:rFonts w:hint="default" w:ascii="Times New Roman" w:hAnsi="Times New Roman" w:eastAsia="宋体" w:cs="Times New Roman"/>
          <w:b/>
          <w:bCs/>
          <w:kern w:val="0"/>
          <w:sz w:val="32"/>
          <w:szCs w:val="32"/>
          <w:highlight w:val="none"/>
          <w:lang w:val="en-US" w:eastAsia="zh-CN" w:bidi="ar"/>
        </w:rPr>
        <w:t xml:space="preserve"> </w:t>
      </w:r>
    </w:p>
    <w:p w14:paraId="121E28DC">
      <w:pPr>
        <w:keepNext w:val="0"/>
        <w:keepLines w:val="0"/>
        <w:widowControl w:val="0"/>
        <w:suppressLineNumbers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eastAsia="宋体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宋体" w:cs="Times New Roman"/>
          <w:kern w:val="0"/>
          <w:sz w:val="32"/>
          <w:szCs w:val="32"/>
          <w:highlight w:val="none"/>
          <w:lang w:val="en-US" w:eastAsia="zh-CN" w:bidi="ar"/>
        </w:rPr>
        <w:t xml:space="preserve"> </w:t>
      </w:r>
    </w:p>
    <w:p w14:paraId="21BC958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highlight w:val="none"/>
        </w:rPr>
      </w:pPr>
      <w:r>
        <w:rPr>
          <w:rFonts w:hint="eastAsia" w:ascii="Times New Roman" w:hAnsi="Times New Roman" w:eastAsia="宋体" w:cs="Times New Roman"/>
          <w:b w:val="0"/>
          <w:bCs w:val="0"/>
          <w:color w:val="auto"/>
          <w:kern w:val="0"/>
          <w:sz w:val="24"/>
          <w:szCs w:val="24"/>
          <w:highlight w:val="none"/>
          <w:lang w:eastAsia="zh-CN" w:bidi="ar"/>
        </w:rPr>
        <w:t>2025年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山东省临床检验中心组织全省临床实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验室开展降钙素原（PCT）检验室间质量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调查活动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，全年共进行1次活动，共3个批号，全年一次邮寄。有关内容说明如下：</w:t>
      </w:r>
    </w:p>
    <w:p w14:paraId="74FCAC81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rightChars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一、测定时间及样品批号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none" w:color="auto" w:sz="6" w:space="0"/>
          <w:bottom w:val="single" w:color="auto" w:sz="4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7"/>
        <w:gridCol w:w="1625"/>
        <w:gridCol w:w="1138"/>
        <w:gridCol w:w="1587"/>
        <w:gridCol w:w="1275"/>
        <w:gridCol w:w="1275"/>
      </w:tblGrid>
      <w:tr w14:paraId="6B723A2E">
        <w:tblPrEx>
          <w:tblBorders>
            <w:top w:val="single" w:color="auto" w:sz="4" w:space="0"/>
            <w:left w:val="none" w:color="auto" w:sz="6" w:space="0"/>
            <w:bottom w:val="single" w:color="auto" w:sz="4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66CEB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次</w:t>
            </w:r>
            <w:r>
              <w:rPr>
                <w:rFonts w:hint="default" w:ascii="Times New Roman" w:hAnsi="Times New Roman" w:cs="Times New Roman" w:eastAsiaTheme="minorEastAsia"/>
                <w:b/>
                <w:bCs/>
                <w:kern w:val="2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数</w:t>
            </w:r>
          </w:p>
        </w:tc>
        <w:tc>
          <w:tcPr>
            <w:tcW w:w="162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3202D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样品批号</w:t>
            </w: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DEB71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数量</w:t>
            </w:r>
          </w:p>
        </w:tc>
        <w:tc>
          <w:tcPr>
            <w:tcW w:w="158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7B5E0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测定日期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E99A5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截止日期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D82B2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成绩反馈</w:t>
            </w:r>
          </w:p>
        </w:tc>
      </w:tr>
      <w:tr w14:paraId="517FBDB7">
        <w:tblPrEx>
          <w:tblBorders>
            <w:top w:val="single" w:color="auto" w:sz="4" w:space="0"/>
            <w:left w:val="none" w:color="auto" w:sz="6" w:space="0"/>
            <w:bottom w:val="single" w:color="auto" w:sz="4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13D0C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第一次</w:t>
            </w:r>
          </w:p>
        </w:tc>
        <w:tc>
          <w:tcPr>
            <w:tcW w:w="162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4F761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54511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～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70A1C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158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DD6C5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  <w:highlight w:val="yellow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8月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08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日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565F5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  <w:highlight w:val="yellow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月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13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日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ECA16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kern w:val="2"/>
                <w:sz w:val="24"/>
                <w:szCs w:val="24"/>
                <w:highlight w:val="yellow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"/>
              </w:rPr>
              <w:t>月</w:t>
            </w: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"/>
              </w:rPr>
              <w:t>日</w:t>
            </w:r>
          </w:p>
        </w:tc>
      </w:tr>
    </w:tbl>
    <w:p w14:paraId="745D08C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/>
        <w:jc w:val="both"/>
        <w:textAlignment w:val="auto"/>
        <w:rPr>
          <w:rFonts w:hint="default" w:ascii="Times New Roman" w:hAnsi="Times New Roman" w:eastAsia="宋体" w:cs="Times New Roman"/>
          <w:b/>
          <w:bCs/>
          <w:kern w:val="0"/>
          <w:sz w:val="24"/>
          <w:szCs w:val="24"/>
          <w:highlight w:val="none"/>
          <w:lang w:val="en-US" w:eastAsia="zh-CN" w:bidi="ar"/>
        </w:rPr>
      </w:pPr>
    </w:p>
    <w:p w14:paraId="1D6A641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二、评价项目</w:t>
      </w:r>
    </w:p>
    <w:p w14:paraId="5FCC171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宋体" w:hAnsi="宋体" w:eastAsia="宋体" w:cs="宋体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评</w:t>
      </w:r>
      <w:r>
        <w:rPr>
          <w:rFonts w:hint="eastAsia" w:ascii="宋体" w:hAnsi="宋体" w:eastAsia="宋体" w:cs="宋体"/>
          <w:kern w:val="0"/>
          <w:sz w:val="24"/>
          <w:szCs w:val="24"/>
          <w:highlight w:val="none"/>
          <w:lang w:val="en-US" w:eastAsia="zh-CN" w:bidi="ar"/>
        </w:rPr>
        <w:t>价项目：降钙素原（PCT），共计1项。</w:t>
      </w:r>
    </w:p>
    <w:p w14:paraId="18D53D1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240" w:firstLineChars="1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vanish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vanish/>
          <w:kern w:val="0"/>
          <w:sz w:val="24"/>
          <w:szCs w:val="24"/>
          <w:highlight w:val="none"/>
          <w:lang w:val="en-US" w:eastAsia="zh-CN" w:bidi="ar"/>
        </w:rPr>
        <w:t>附表</w:t>
      </w:r>
    </w:p>
    <w:p w14:paraId="1BF9302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leftChars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三、样品发放、接收及处理</w:t>
      </w:r>
    </w:p>
    <w:p w14:paraId="61CD236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default" w:ascii="Times New Roman" w:hAnsi="Times New Roman" w:eastAsia="宋体" w:cs="Times New Roman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1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、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降钙素原室间质评品调查得到了各实验室的积极响应，实际有效报名实验室310家，拟全部试验室发放，以实际收到调查样品为准。谢谢各实验室的参与和理解。</w:t>
      </w:r>
    </w:p>
    <w:p w14:paraId="737EE22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2、本次调查活动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无多余质评品，如有质评品破损、缺失或编号错误，本次调查终止参与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。</w:t>
      </w:r>
    </w:p>
    <w:p w14:paraId="34D70E7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ascii="PingFangSC-Regular" w:hAnsi="PingFangSC-Regular" w:eastAsia="PingFangSC-Regular" w:cs="PingFangSC-Regular"/>
          <w:b w:val="0"/>
          <w:bCs w:val="0"/>
          <w:color w:val="000000"/>
          <w:sz w:val="12"/>
          <w:szCs w:val="12"/>
        </w:rPr>
      </w:pPr>
      <w:r>
        <w:rPr>
          <w:rFonts w:hint="eastAsia" w:ascii="Times New Roman" w:hAnsi="Times New Roman" w:eastAsia="宋体" w:cs="Times New Roman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3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 xml:space="preserve">、使用方法: 参照所使用的仪器或试剂的说明进行操作。 </w:t>
      </w:r>
    </w:p>
    <w:p w14:paraId="4313E56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 xml:space="preserve">（1）注意核对质评品批号，按顺序进行摆放。在室温15ºC-25ºC 稳定30分钟,小心打开瓶盖,防止粉末洒出。 </w:t>
      </w:r>
    </w:p>
    <w:p w14:paraId="438A251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（2）用定量吸管移取1mL符合质量要求的洁净蒸馏水或去离子水进行质评品配置。</w:t>
      </w:r>
    </w:p>
    <w:p w14:paraId="3556169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（3）盖上瓶盖,静置约20 分钟,期间轻轻晃动瓶子5-10 次，充分混匀。</w:t>
      </w:r>
    </w:p>
    <w:p w14:paraId="6132BDC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 xml:space="preserve">（4）开瓶,用无污染的吸管移取足量样品,置于样本杯中立即上机检测。 </w:t>
      </w:r>
    </w:p>
    <w:p w14:paraId="3E2D62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4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、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/>
        </w:rPr>
        <w:t>将样品等同于临床样本进行检测</w:t>
      </w:r>
      <w:r>
        <w:rPr>
          <w:rFonts w:hint="eastAsia" w:ascii="Times New Roman" w:hAnsi="Times New Roman" w:eastAsia="宋体" w:cs="Times New Roman"/>
          <w:b/>
          <w:bCs/>
          <w:sz w:val="24"/>
          <w:szCs w:val="24"/>
          <w:lang w:val="en-US" w:eastAsia="zh-CN"/>
        </w:rPr>
        <w:t>，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按有潜在生物传染性样本对待，并根据相关规定使用及处理。</w:t>
      </w:r>
    </w:p>
    <w:p w14:paraId="6779E5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5、储存条件</w:t>
      </w:r>
    </w:p>
    <w:p w14:paraId="101937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765810</wp:posOffset>
            </wp:positionH>
            <wp:positionV relativeFrom="paragraph">
              <wp:posOffset>19685</wp:posOffset>
            </wp:positionV>
            <wp:extent cx="3284220" cy="1582420"/>
            <wp:effectExtent l="0" t="0" r="5080" b="5080"/>
            <wp:wrapNone/>
            <wp:docPr id="1" name="图片 1" descr="17527475634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5274756341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84220" cy="1582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95A20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4ECB556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7F131A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2EA660E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32FE1F6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</w:p>
    <w:p w14:paraId="70EE71C1">
      <w:pPr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结果回报：</w:t>
      </w:r>
    </w:p>
    <w:p w14:paraId="7EC820D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default" w:ascii="Times New Roman" w:hAnsi="Times New Roman" w:cs="Times New Roman" w:eastAsiaTheme="minorEastAsia"/>
          <w:kern w:val="2"/>
          <w:sz w:val="24"/>
          <w:szCs w:val="24"/>
          <w:lang w:val="en-US" w:eastAsia="zh-CN" w:bidi="ar"/>
        </w:rPr>
        <w:t>1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、使用</w:t>
      </w:r>
      <w:r>
        <w:rPr>
          <w:rFonts w:hint="default" w:ascii="Times New Roman" w:hAnsi="Times New Roman" w:cs="Times New Roman" w:eastAsiaTheme="minorEastAsia"/>
          <w:kern w:val="2"/>
          <w:sz w:val="24"/>
          <w:szCs w:val="24"/>
          <w:lang w:val="en-US" w:eastAsia="zh-CN" w:bidi="ar"/>
        </w:rPr>
        <w:t>Web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方式传递室间质评信息。具体结果回报方法请查看《</w:t>
      </w:r>
      <w:r>
        <w:rPr>
          <w:rFonts w:hint="eastAsia" w:ascii="Times New Roman" w:hAnsi="Times New Roman" w:eastAsia="宋体" w:cs="Times New Roman"/>
          <w:kern w:val="2"/>
          <w:sz w:val="24"/>
          <w:szCs w:val="24"/>
          <w:lang w:val="en-US" w:eastAsia="zh-CN" w:bidi="ar"/>
        </w:rPr>
        <w:t>2025年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山东省医疗机构临床实验室室间质量评价计划》中“六、基于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"/>
        </w:rPr>
        <w:t>Web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的室间质量评价方式”。</w:t>
      </w:r>
    </w:p>
    <w:p w14:paraId="41057F7D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rightChars="0" w:firstLine="482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2"/>
          <w:sz w:val="24"/>
          <w:szCs w:val="24"/>
          <w:lang w:eastAsia="zh-CN" w:bidi="ar"/>
        </w:rPr>
        <w:t>2、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报告结果时必须填写检测方法、试剂、仪器等信息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，请在回报表相应位置的下拉菜单中选择对应编码。</w:t>
      </w:r>
    </w:p>
    <w:p w14:paraId="5726D2D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</w:rPr>
      </w:pPr>
      <w:r>
        <w:rPr>
          <w:rFonts w:hint="default" w:ascii="Times New Roman" w:hAnsi="Times New Roman" w:eastAsia="宋体" w:cs="Times New Roman"/>
          <w:b/>
          <w:bCs/>
          <w:kern w:val="0"/>
          <w:sz w:val="24"/>
          <w:szCs w:val="24"/>
          <w:highlight w:val="none"/>
          <w:lang w:val="en-US" w:eastAsia="zh-CN" w:bidi="ar"/>
        </w:rPr>
        <w:t>3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、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请务必在规定时间内上报检测结果。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填写结果和编码时，请仔细审核后发送，提示发送成功后，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必须到已上报数据栏进行结果的确认。</w:t>
      </w:r>
    </w:p>
    <w:p w14:paraId="766109F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 w:val="0"/>
          <w:bCs w:val="0"/>
          <w:sz w:val="24"/>
          <w:szCs w:val="24"/>
          <w:lang w:val="en-US" w:eastAsia="zh-CN" w:bidi="ar-SA"/>
        </w:rPr>
        <w:t>4</w:t>
      </w: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 w:bidi="ar-SA"/>
        </w:rPr>
        <w:t>、参评实验室必须严肃认真对待每一次室间质量评价活动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 w:bidi="ar-SA"/>
        </w:rPr>
        <w:t>。</w:t>
      </w:r>
    </w:p>
    <w:p w14:paraId="2C7A3CF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五、联系方式</w:t>
      </w:r>
    </w:p>
    <w:p w14:paraId="2B230C4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cs="Times New Roman"/>
          <w:b/>
          <w:bCs w:val="0"/>
          <w:kern w:val="2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如果参加室间质评单位遇到与质评有关的问题，请与临检中心质评室联系。</w:t>
      </w:r>
    </w:p>
    <w:p w14:paraId="7D51A0E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地址：济南市历下区经十路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>9677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号山东省立医院东院区诚和楼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 xml:space="preserve">505 </w:t>
      </w:r>
    </w:p>
    <w:p w14:paraId="1F35BA5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电话：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>0531-87906016</w:t>
      </w:r>
    </w:p>
    <w:p w14:paraId="294A187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邮箱：</w:t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fldChar w:fldCharType="begin"/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instrText xml:space="preserve"> HYPERLINK "mailto:sdccl@21cn.com" </w:instrText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fldChar w:fldCharType="separate"/>
      </w:r>
      <w:r>
        <w:rPr>
          <w:rStyle w:val="11"/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</w:rPr>
        <w:t>sdccleqa@163.com</w:t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fldChar w:fldCharType="end"/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、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>sdccloffice@163.com</w:t>
      </w:r>
    </w:p>
    <w:p w14:paraId="6B15A7EF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b w:val="0"/>
          <w:bCs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 w:val="0"/>
          <w:bCs/>
          <w:kern w:val="2"/>
          <w:sz w:val="24"/>
          <w:szCs w:val="24"/>
          <w:lang w:val="en-US" w:eastAsia="zh-CN" w:bidi="ar"/>
        </w:rPr>
        <w:t xml:space="preserve"> </w:t>
      </w:r>
    </w:p>
    <w:p w14:paraId="30FD46C7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b w:val="0"/>
          <w:bCs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 w:val="0"/>
          <w:bCs/>
          <w:kern w:val="2"/>
          <w:sz w:val="24"/>
          <w:szCs w:val="24"/>
          <w:lang w:val="en-US" w:eastAsia="zh-CN" w:bidi="ar"/>
        </w:rPr>
        <w:t xml:space="preserve"> </w:t>
      </w:r>
    </w:p>
    <w:p w14:paraId="576ECFC2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b w:val="0"/>
          <w:bCs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 w:val="0"/>
          <w:bCs/>
          <w:kern w:val="2"/>
          <w:sz w:val="24"/>
          <w:szCs w:val="24"/>
          <w:lang w:val="en-US" w:eastAsia="zh-CN" w:bidi="ar"/>
        </w:rPr>
        <w:t xml:space="preserve"> </w:t>
      </w:r>
    </w:p>
    <w:p w14:paraId="2267EE92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/>
          <w:bCs w:val="0"/>
          <w:kern w:val="2"/>
          <w:sz w:val="24"/>
          <w:szCs w:val="24"/>
          <w:lang w:val="en-US" w:eastAsia="zh-CN" w:bidi="ar"/>
        </w:rPr>
        <w:t xml:space="preserve">  </w:t>
      </w:r>
    </w:p>
    <w:p w14:paraId="1B646F6E"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360" w:lineRule="auto"/>
        <w:ind w:left="0" w:right="0" w:firstLine="420"/>
        <w:jc w:val="both"/>
        <w:rPr>
          <w:rFonts w:hint="default" w:ascii="Times New Roman" w:hAnsi="Times New Roman" w:cs="Times New Roman"/>
          <w:b/>
          <w:bCs/>
          <w:kern w:val="2"/>
          <w:sz w:val="28"/>
          <w:szCs w:val="28"/>
        </w:rPr>
      </w:pPr>
      <w:r>
        <w:rPr>
          <w:rFonts w:hint="default" w:ascii="Times New Roman" w:hAnsi="Times New Roman" w:cs="Times New Roman" w:eastAsiaTheme="minorEastAsia"/>
          <w:kern w:val="2"/>
          <w:sz w:val="28"/>
          <w:szCs w:val="28"/>
          <w:lang w:val="en-US" w:eastAsia="zh-CN" w:bidi="ar"/>
        </w:rPr>
        <w:t xml:space="preserve">                          </w:t>
      </w:r>
      <w:r>
        <w:rPr>
          <w:rFonts w:hint="default" w:ascii="Times New Roman" w:hAnsi="Times New Roman" w:cs="Times New Roman" w:eastAsiaTheme="minorEastAsia"/>
          <w:b/>
          <w:bCs/>
          <w:kern w:val="2"/>
          <w:sz w:val="24"/>
          <w:szCs w:val="24"/>
          <w:lang w:val="en-US" w:eastAsia="zh-CN" w:bidi="ar"/>
        </w:rPr>
        <w:t xml:space="preserve">            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"/>
        </w:rPr>
        <w:t>山东省临床检验中心</w:t>
      </w:r>
      <w:r>
        <w:rPr>
          <w:rFonts w:hint="default" w:ascii="Times New Roman" w:hAnsi="Times New Roman" w:cs="Times New Roman" w:eastAsiaTheme="minorEastAsia"/>
          <w:b/>
          <w:bCs/>
          <w:kern w:val="2"/>
          <w:sz w:val="28"/>
          <w:szCs w:val="28"/>
          <w:lang w:val="en-US" w:eastAsia="zh-CN" w:bidi="ar"/>
        </w:rPr>
        <w:t xml:space="preserve"> </w:t>
      </w:r>
    </w:p>
    <w:p w14:paraId="1B2998D6"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360" w:lineRule="auto"/>
        <w:ind w:left="0" w:right="0" w:firstLine="562" w:firstLineChars="200"/>
        <w:jc w:val="both"/>
      </w:pPr>
      <w:r>
        <w:rPr>
          <w:rFonts w:hint="default" w:ascii="Times New Roman" w:hAnsi="Times New Roman" w:cs="Times New Roman" w:eastAsiaTheme="minorEastAsia"/>
          <w:b/>
          <w:bCs/>
          <w:kern w:val="2"/>
          <w:sz w:val="28"/>
          <w:szCs w:val="28"/>
          <w:lang w:val="en-US" w:eastAsia="zh-CN" w:bidi="ar"/>
        </w:rPr>
        <w:t xml:space="preserve">                                    </w:t>
      </w:r>
      <w:r>
        <w:rPr>
          <w:rFonts w:hint="eastAsia" w:ascii="Times New Roman" w:hAnsi="Times New Roman" w:cs="Times New Roman"/>
          <w:b/>
          <w:bCs/>
          <w:kern w:val="2"/>
          <w:sz w:val="28"/>
          <w:szCs w:val="28"/>
          <w:lang w:val="en-US" w:eastAsia="zh-CN" w:bidi="ar"/>
        </w:rPr>
        <w:t>2025年8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"/>
        </w:rPr>
        <w:t>月</w:t>
      </w:r>
      <w:r>
        <w:rPr>
          <w:rFonts w:hint="eastAsia" w:ascii="Times New Roman" w:hAnsi="Times New Roman" w:cs="Times New Roman"/>
          <w:b/>
          <w:bCs/>
          <w:kern w:val="2"/>
          <w:sz w:val="28"/>
          <w:szCs w:val="28"/>
          <w:lang w:val="en-US" w:eastAsia="zh-CN" w:bidi="ar"/>
        </w:rPr>
        <w:t>4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"/>
        </w:rPr>
        <w:t>日</w:t>
      </w:r>
      <w:r>
        <w:rPr>
          <w:rFonts w:hint="default" w:ascii="Times New Roman" w:hAnsi="Times New Roman" w:cs="Times New Roman" w:eastAsiaTheme="minorEastAsia"/>
          <w:b/>
          <w:bCs/>
          <w:kern w:val="2"/>
          <w:sz w:val="28"/>
          <w:szCs w:val="28"/>
          <w:lang w:val="en-US" w:eastAsia="zh-CN" w:bidi="ar"/>
        </w:rPr>
        <w:t xml:space="preserve">  </w:t>
      </w:r>
    </w:p>
    <w:p w14:paraId="0B6A41FA">
      <w:pPr>
        <w:keepNext w:val="0"/>
        <w:keepLines w:val="0"/>
        <w:widowControl w:val="0"/>
        <w:suppressLineNumbers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eastAsia="宋体" w:cs="Times New Roman"/>
          <w:b w:val="0"/>
          <w:bCs/>
          <w:sz w:val="24"/>
          <w:szCs w:val="24"/>
          <w:highlight w:val="none"/>
        </w:rPr>
      </w:pPr>
    </w:p>
    <w:p w14:paraId="4E61B618">
      <w:pPr>
        <w:rPr>
          <w:rFonts w:hint="default" w:ascii="Times New Roman" w:hAnsi="Times New Roman" w:eastAsia="宋体" w:cs="Times New Roman"/>
          <w:b w:val="0"/>
          <w:bCs/>
          <w:sz w:val="24"/>
          <w:szCs w:val="24"/>
          <w:highlight w:val="none"/>
        </w:rPr>
      </w:pPr>
      <w:bookmarkStart w:id="0" w:name="_GoBack"/>
      <w:bookmarkEnd w:id="0"/>
    </w:p>
    <w:sectPr>
      <w:headerReference r:id="rId3" w:type="default"/>
      <w:pgSz w:w="11906" w:h="16838"/>
      <w:pgMar w:top="1440" w:right="850" w:bottom="1440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PingFangSC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6E3E9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E329362"/>
    <w:multiLevelType w:val="multilevel"/>
    <w:tmpl w:val="EE329362"/>
    <w:lvl w:ilvl="0" w:tentative="0">
      <w:start w:val="4"/>
      <w:numFmt w:val="chineseCounting"/>
      <w:suff w:val="nothing"/>
      <w:lvlText w:val="%1、"/>
      <w:lvlJc w:val="left"/>
      <w:pPr>
        <w:ind w:left="0" w:firstLine="0"/>
      </w:pPr>
      <w:rPr>
        <w:rFonts w:hint="eastAsia" w:ascii="宋体" w:hAnsi="宋体" w:eastAsia="宋体" w:cs="宋体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firstLine="65176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firstLine="65176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firstLine="65176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firstLine="65176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firstLine="65176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firstLine="65176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firstLine="65176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firstLine="65176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E0OTY0YmI2M2M3NjEwMzU1YjJlYzM1N2U2NDJlNjQifQ=="/>
  </w:docVars>
  <w:rsids>
    <w:rsidRoot w:val="687D3253"/>
    <w:rsid w:val="000011CC"/>
    <w:rsid w:val="00024C20"/>
    <w:rsid w:val="00025E9B"/>
    <w:rsid w:val="00040D00"/>
    <w:rsid w:val="00044DE8"/>
    <w:rsid w:val="0005691D"/>
    <w:rsid w:val="00082BD2"/>
    <w:rsid w:val="000A5BE5"/>
    <w:rsid w:val="000A5F0C"/>
    <w:rsid w:val="000B2E03"/>
    <w:rsid w:val="000B6C71"/>
    <w:rsid w:val="000E241C"/>
    <w:rsid w:val="00107572"/>
    <w:rsid w:val="001178FD"/>
    <w:rsid w:val="00130773"/>
    <w:rsid w:val="00157FBD"/>
    <w:rsid w:val="0016136F"/>
    <w:rsid w:val="00166477"/>
    <w:rsid w:val="001975E8"/>
    <w:rsid w:val="001A09FE"/>
    <w:rsid w:val="001B3D6A"/>
    <w:rsid w:val="001B7A8C"/>
    <w:rsid w:val="001E1B12"/>
    <w:rsid w:val="001F26CF"/>
    <w:rsid w:val="001F576D"/>
    <w:rsid w:val="002359CD"/>
    <w:rsid w:val="002425DC"/>
    <w:rsid w:val="002612E6"/>
    <w:rsid w:val="00267497"/>
    <w:rsid w:val="002807E7"/>
    <w:rsid w:val="002D6122"/>
    <w:rsid w:val="00310B3D"/>
    <w:rsid w:val="00333937"/>
    <w:rsid w:val="0033401E"/>
    <w:rsid w:val="00342A50"/>
    <w:rsid w:val="003455DF"/>
    <w:rsid w:val="00373959"/>
    <w:rsid w:val="0038799D"/>
    <w:rsid w:val="003B43A0"/>
    <w:rsid w:val="003C3DEC"/>
    <w:rsid w:val="003D7D21"/>
    <w:rsid w:val="004854A4"/>
    <w:rsid w:val="00485E04"/>
    <w:rsid w:val="004867DC"/>
    <w:rsid w:val="0049411D"/>
    <w:rsid w:val="004A7F60"/>
    <w:rsid w:val="004B234C"/>
    <w:rsid w:val="004C1710"/>
    <w:rsid w:val="004E1E9B"/>
    <w:rsid w:val="004E3863"/>
    <w:rsid w:val="004F6D50"/>
    <w:rsid w:val="0051677A"/>
    <w:rsid w:val="00517F7E"/>
    <w:rsid w:val="00546521"/>
    <w:rsid w:val="00583776"/>
    <w:rsid w:val="005B7CDF"/>
    <w:rsid w:val="005C67BC"/>
    <w:rsid w:val="005C7247"/>
    <w:rsid w:val="005D0D75"/>
    <w:rsid w:val="005D302E"/>
    <w:rsid w:val="006034B5"/>
    <w:rsid w:val="006141D4"/>
    <w:rsid w:val="00615262"/>
    <w:rsid w:val="006B0276"/>
    <w:rsid w:val="006B3726"/>
    <w:rsid w:val="006B69A4"/>
    <w:rsid w:val="006E6BE9"/>
    <w:rsid w:val="006F511C"/>
    <w:rsid w:val="00702CDF"/>
    <w:rsid w:val="0070371A"/>
    <w:rsid w:val="00722126"/>
    <w:rsid w:val="007240D6"/>
    <w:rsid w:val="00734663"/>
    <w:rsid w:val="0073679C"/>
    <w:rsid w:val="00770C93"/>
    <w:rsid w:val="007920B5"/>
    <w:rsid w:val="00797FC8"/>
    <w:rsid w:val="007A0AC7"/>
    <w:rsid w:val="007D5A20"/>
    <w:rsid w:val="00806DE3"/>
    <w:rsid w:val="00815B35"/>
    <w:rsid w:val="008430BF"/>
    <w:rsid w:val="008502F9"/>
    <w:rsid w:val="008676EA"/>
    <w:rsid w:val="008907E2"/>
    <w:rsid w:val="008F235A"/>
    <w:rsid w:val="008F64B3"/>
    <w:rsid w:val="00933CC9"/>
    <w:rsid w:val="009355D4"/>
    <w:rsid w:val="00956E41"/>
    <w:rsid w:val="0096555A"/>
    <w:rsid w:val="0098743C"/>
    <w:rsid w:val="009A0E10"/>
    <w:rsid w:val="009E557E"/>
    <w:rsid w:val="00A13B54"/>
    <w:rsid w:val="00A22625"/>
    <w:rsid w:val="00A43256"/>
    <w:rsid w:val="00A504F7"/>
    <w:rsid w:val="00A64A9B"/>
    <w:rsid w:val="00A67FE2"/>
    <w:rsid w:val="00A77621"/>
    <w:rsid w:val="00A91451"/>
    <w:rsid w:val="00AA0A7B"/>
    <w:rsid w:val="00AB4687"/>
    <w:rsid w:val="00AB5061"/>
    <w:rsid w:val="00AC15A7"/>
    <w:rsid w:val="00B068F4"/>
    <w:rsid w:val="00B43E76"/>
    <w:rsid w:val="00B94190"/>
    <w:rsid w:val="00BD5041"/>
    <w:rsid w:val="00BE0FDF"/>
    <w:rsid w:val="00BE47A5"/>
    <w:rsid w:val="00BE6344"/>
    <w:rsid w:val="00BF1A4F"/>
    <w:rsid w:val="00C055E1"/>
    <w:rsid w:val="00C0604A"/>
    <w:rsid w:val="00C23CB8"/>
    <w:rsid w:val="00C331E6"/>
    <w:rsid w:val="00C45E2B"/>
    <w:rsid w:val="00C500A7"/>
    <w:rsid w:val="00C5032D"/>
    <w:rsid w:val="00C50731"/>
    <w:rsid w:val="00C83EC4"/>
    <w:rsid w:val="00CB729C"/>
    <w:rsid w:val="00CD1D45"/>
    <w:rsid w:val="00D02C2D"/>
    <w:rsid w:val="00D0325B"/>
    <w:rsid w:val="00D42DE2"/>
    <w:rsid w:val="00D47CFE"/>
    <w:rsid w:val="00D506BC"/>
    <w:rsid w:val="00D57738"/>
    <w:rsid w:val="00D57AAF"/>
    <w:rsid w:val="00D62BE1"/>
    <w:rsid w:val="00D732DB"/>
    <w:rsid w:val="00D80764"/>
    <w:rsid w:val="00D84F11"/>
    <w:rsid w:val="00DB21E3"/>
    <w:rsid w:val="00DD2C7D"/>
    <w:rsid w:val="00DD30CF"/>
    <w:rsid w:val="00DD44F0"/>
    <w:rsid w:val="00E00A18"/>
    <w:rsid w:val="00E16E9F"/>
    <w:rsid w:val="00E22A59"/>
    <w:rsid w:val="00E421C8"/>
    <w:rsid w:val="00E460FA"/>
    <w:rsid w:val="00E5665C"/>
    <w:rsid w:val="00E637BE"/>
    <w:rsid w:val="00E75D35"/>
    <w:rsid w:val="00E76D3D"/>
    <w:rsid w:val="00EA56B9"/>
    <w:rsid w:val="00EB54BA"/>
    <w:rsid w:val="00EC49C1"/>
    <w:rsid w:val="00F023E8"/>
    <w:rsid w:val="00F10BAF"/>
    <w:rsid w:val="00F12AE8"/>
    <w:rsid w:val="00F15E0B"/>
    <w:rsid w:val="00F172E2"/>
    <w:rsid w:val="00F25C15"/>
    <w:rsid w:val="00F865E5"/>
    <w:rsid w:val="00FD4527"/>
    <w:rsid w:val="044B5865"/>
    <w:rsid w:val="0904144F"/>
    <w:rsid w:val="099C4A04"/>
    <w:rsid w:val="0A473D82"/>
    <w:rsid w:val="13D221E3"/>
    <w:rsid w:val="16D42680"/>
    <w:rsid w:val="17FF54B3"/>
    <w:rsid w:val="1A7537B5"/>
    <w:rsid w:val="2774326E"/>
    <w:rsid w:val="2A823E28"/>
    <w:rsid w:val="33480F8C"/>
    <w:rsid w:val="34CC177B"/>
    <w:rsid w:val="35CE2FA3"/>
    <w:rsid w:val="3EAF5522"/>
    <w:rsid w:val="3F72ED6A"/>
    <w:rsid w:val="3FFFB33F"/>
    <w:rsid w:val="44E8726F"/>
    <w:rsid w:val="45414767"/>
    <w:rsid w:val="47E66258"/>
    <w:rsid w:val="52FB1ECB"/>
    <w:rsid w:val="540006A2"/>
    <w:rsid w:val="5794182D"/>
    <w:rsid w:val="57F7A924"/>
    <w:rsid w:val="58940F8B"/>
    <w:rsid w:val="5BD3BBD6"/>
    <w:rsid w:val="5FE84949"/>
    <w:rsid w:val="5FF0CD18"/>
    <w:rsid w:val="60B627D2"/>
    <w:rsid w:val="645C4577"/>
    <w:rsid w:val="65BF51CD"/>
    <w:rsid w:val="663416EE"/>
    <w:rsid w:val="687D3253"/>
    <w:rsid w:val="69EFA192"/>
    <w:rsid w:val="6CE23D43"/>
    <w:rsid w:val="6E3F8360"/>
    <w:rsid w:val="75F80A7C"/>
    <w:rsid w:val="79F26295"/>
    <w:rsid w:val="7B196348"/>
    <w:rsid w:val="7DD74CA0"/>
    <w:rsid w:val="7FBB06BC"/>
    <w:rsid w:val="B63F921F"/>
    <w:rsid w:val="BDFF7258"/>
    <w:rsid w:val="DC3B6FE8"/>
    <w:rsid w:val="E59E5E73"/>
    <w:rsid w:val="EBC601F3"/>
    <w:rsid w:val="EE9A6913"/>
    <w:rsid w:val="F1F78084"/>
    <w:rsid w:val="FEEAB11E"/>
    <w:rsid w:val="FF77ABE0"/>
    <w:rsid w:val="FFF9D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  <w:lang w:val="en-US" w:eastAsia="zh-CN" w:bidi="ar-SA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9"/>
    <w:autoRedefine/>
    <w:qFormat/>
    <w:uiPriority w:val="0"/>
    <w:rPr>
      <w:rFonts w:ascii="宋体" w:hAnsi="Courier New" w:eastAsia="宋体" w:cs="Courier New"/>
      <w:kern w:val="2"/>
      <w:szCs w:val="21"/>
    </w:rPr>
  </w:style>
  <w:style w:type="paragraph" w:styleId="3">
    <w:name w:val="Date"/>
    <w:basedOn w:val="1"/>
    <w:next w:val="1"/>
    <w:link w:val="20"/>
    <w:autoRedefine/>
    <w:qFormat/>
    <w:uiPriority w:val="0"/>
    <w:pPr>
      <w:ind w:left="100" w:leftChars="2500"/>
    </w:pPr>
  </w:style>
  <w:style w:type="paragraph" w:styleId="4">
    <w:name w:val="Balloon Text"/>
    <w:basedOn w:val="1"/>
    <w:link w:val="12"/>
    <w:autoRedefine/>
    <w:qFormat/>
    <w:uiPriority w:val="0"/>
    <w:rPr>
      <w:sz w:val="18"/>
      <w:szCs w:val="18"/>
    </w:rPr>
  </w:style>
  <w:style w:type="paragraph" w:styleId="5">
    <w:name w:val="footer"/>
    <w:basedOn w:val="1"/>
    <w:link w:val="14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sz w:val="24"/>
      <w:szCs w:val="24"/>
    </w:rPr>
  </w:style>
  <w:style w:type="table" w:styleId="9">
    <w:name w:val="Table Grid"/>
    <w:basedOn w:val="8"/>
    <w:autoRedefine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autoRedefine/>
    <w:qFormat/>
    <w:uiPriority w:val="0"/>
    <w:rPr>
      <w:color w:val="0000FF"/>
      <w:u w:val="single"/>
    </w:rPr>
  </w:style>
  <w:style w:type="character" w:customStyle="1" w:styleId="12">
    <w:name w:val="批注框文本 Char"/>
    <w:basedOn w:val="10"/>
    <w:link w:val="4"/>
    <w:autoRedefine/>
    <w:qFormat/>
    <w:uiPriority w:val="0"/>
    <w:rPr>
      <w:sz w:val="18"/>
      <w:szCs w:val="18"/>
    </w:rPr>
  </w:style>
  <w:style w:type="character" w:customStyle="1" w:styleId="13">
    <w:name w:val="页眉 Char"/>
    <w:basedOn w:val="10"/>
    <w:link w:val="6"/>
    <w:autoRedefine/>
    <w:qFormat/>
    <w:uiPriority w:val="99"/>
    <w:rPr>
      <w:sz w:val="18"/>
      <w:szCs w:val="18"/>
    </w:rPr>
  </w:style>
  <w:style w:type="character" w:customStyle="1" w:styleId="14">
    <w:name w:val="页脚 Char"/>
    <w:basedOn w:val="10"/>
    <w:link w:val="5"/>
    <w:autoRedefine/>
    <w:qFormat/>
    <w:uiPriority w:val="0"/>
    <w:rPr>
      <w:sz w:val="18"/>
      <w:szCs w:val="18"/>
    </w:rPr>
  </w:style>
  <w:style w:type="paragraph" w:styleId="15">
    <w:name w:val="No Spacing"/>
    <w:link w:val="16"/>
    <w:autoRedefine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16">
    <w:name w:val="无间隔 Char"/>
    <w:basedOn w:val="10"/>
    <w:link w:val="15"/>
    <w:autoRedefine/>
    <w:qFormat/>
    <w:uiPriority w:val="1"/>
    <w:rPr>
      <w:sz w:val="22"/>
      <w:szCs w:val="22"/>
    </w:rPr>
  </w:style>
  <w:style w:type="paragraph" w:styleId="17">
    <w:name w:val="List Paragraph"/>
    <w:basedOn w:val="1"/>
    <w:autoRedefine/>
    <w:unhideWhenUsed/>
    <w:qFormat/>
    <w:uiPriority w:val="0"/>
    <w:pPr>
      <w:ind w:firstLine="420" w:firstLineChars="200"/>
    </w:pPr>
  </w:style>
  <w:style w:type="paragraph" w:customStyle="1" w:styleId="18">
    <w:name w:val="Table Paragraph"/>
    <w:basedOn w:val="1"/>
    <w:autoRedefine/>
    <w:qFormat/>
    <w:uiPriority w:val="1"/>
    <w:pPr>
      <w:autoSpaceDE w:val="0"/>
      <w:autoSpaceDN w:val="0"/>
      <w:ind w:left="57"/>
      <w:jc w:val="left"/>
    </w:pPr>
    <w:rPr>
      <w:rFonts w:ascii="宋体" w:hAnsi="宋体" w:eastAsia="宋体" w:cs="宋体"/>
      <w:sz w:val="22"/>
      <w:lang w:val="zh-CN" w:bidi="zh-CN"/>
    </w:rPr>
  </w:style>
  <w:style w:type="character" w:customStyle="1" w:styleId="19">
    <w:name w:val="纯文本 Char"/>
    <w:basedOn w:val="10"/>
    <w:link w:val="2"/>
    <w:autoRedefine/>
    <w:qFormat/>
    <w:uiPriority w:val="0"/>
    <w:rPr>
      <w:rFonts w:ascii="宋体" w:hAnsi="Courier New" w:eastAsia="宋体" w:cs="Courier New"/>
      <w:kern w:val="2"/>
      <w:sz w:val="21"/>
      <w:szCs w:val="21"/>
    </w:rPr>
  </w:style>
  <w:style w:type="character" w:customStyle="1" w:styleId="20">
    <w:name w:val="日期 Char"/>
    <w:basedOn w:val="10"/>
    <w:link w:val="3"/>
    <w:autoRedefine/>
    <w:qFormat/>
    <w:uiPriority w:val="0"/>
    <w:rPr>
      <w:sz w:val="21"/>
      <w:szCs w:val="22"/>
    </w:rPr>
  </w:style>
  <w:style w:type="paragraph" w:customStyle="1" w:styleId="21">
    <w:name w:val="Default"/>
    <w:basedOn w:val="1"/>
    <w:autoRedefine/>
    <w:qFormat/>
    <w:uiPriority w:val="0"/>
    <w:pPr>
      <w:keepNext w:val="0"/>
      <w:keepLines w:val="0"/>
      <w:widowControl w:val="0"/>
      <w:suppressLineNumbers w:val="0"/>
      <w:autoSpaceDE w:val="0"/>
      <w:autoSpaceDN w:val="0"/>
      <w:adjustRightInd w:val="0"/>
      <w:spacing w:before="0" w:beforeAutospacing="0" w:after="0" w:afterAutospacing="0"/>
      <w:ind w:left="0" w:right="0"/>
      <w:jc w:val="left"/>
    </w:pPr>
    <w:rPr>
      <w:rFonts w:hint="eastAsia" w:ascii="宋体" w:hAnsi="Times New Roman" w:eastAsia="宋体" w:cs="宋体"/>
      <w:color w:val="000000"/>
      <w:kern w:val="0"/>
      <w:sz w:val="24"/>
      <w:szCs w:val="24"/>
      <w:lang w:val="en-US" w:eastAsia="zh-CN" w:bidi="ar"/>
    </w:rPr>
  </w:style>
  <w:style w:type="character" w:customStyle="1" w:styleId="22">
    <w:name w:val="10"/>
    <w:basedOn w:val="10"/>
    <w:autoRedefine/>
    <w:qFormat/>
    <w:uiPriority w:val="0"/>
    <w:rPr>
      <w:rFonts w:hint="default" w:ascii="Calibri" w:hAnsi="Calibri" w:cs="Calibri"/>
    </w:rPr>
  </w:style>
  <w:style w:type="character" w:customStyle="1" w:styleId="23">
    <w:name w:val="15"/>
    <w:basedOn w:val="10"/>
    <w:autoRedefine/>
    <w:qFormat/>
    <w:uiPriority w:val="0"/>
    <w:rPr>
      <w:rFonts w:hint="default" w:ascii="Calibri" w:hAnsi="Calibri" w:cs="Calibri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7316C-8769-4CC4-AC60-A51A8BF57BF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微软中国</Company>
  <Pages>2</Pages>
  <Words>1000</Words>
  <Characters>1107</Characters>
  <Lines>1</Lines>
  <Paragraphs>1</Paragraphs>
  <TotalTime>1</TotalTime>
  <ScaleCrop>false</ScaleCrop>
  <LinksUpToDate>false</LinksUpToDate>
  <CharactersWithSpaces>1375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2023-07-10T08:25:00Z</dcterms:created>
  <dc:creator>sunny</dc:creator>
  <cp:lastModifiedBy>大梅</cp:lastModifiedBy>
  <cp:lastPrinted>2023-08-01T00:11:00Z</cp:lastPrinted>
  <dcterms:modified xsi:type="dcterms:W3CDTF">2025-08-05T01:43:49Z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4716FE2765FA40209DD33F683A7CE502_11</vt:lpwstr>
  </property>
  <property fmtid="{D5CDD505-2E9C-101B-9397-08002B2CF9AE}" pid="4" name="KSOTemplateDocerSaveRecord">
    <vt:lpwstr>eyJoZGlkIjoiYTE0OTY0YmI2M2M3NjEwMzU1YjJlYzM1N2U2NDJlNjQiLCJ1c2VySWQiOiIyMTY2NjQ3NTkifQ==</vt:lpwstr>
  </property>
</Properties>
</file>